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2"/>
        <w:spacing w:before="88"/>
        <w:ind w:left="1586" w:right="1580"/>
        <w:jc w:val="center"/>
      </w:pPr>
      <w:r>
        <w:rPr/>
        <w:t>OFFICE OF THE COMMISSIONER OF CUSTOMS (NS-III) MUMBAI ZONE-II,</w:t>
      </w:r>
    </w:p>
    <w:p>
      <w:pPr>
        <w:spacing w:before="2"/>
        <w:ind w:left="633" w:right="635" w:firstLine="0"/>
        <w:jc w:val="center"/>
        <w:rPr>
          <w:b/>
          <w:sz w:val="24"/>
        </w:rPr>
      </w:pPr>
      <w:r>
        <w:rPr>
          <w:b/>
          <w:sz w:val="24"/>
        </w:rPr>
        <w:t>JAWAHARLAL NEHRU CUSTOM HOUSE, NHAVA SHEVA, TALUKA: URAN, DISTRICT: RAIGAD, MAHARASHTRA-400707.</w:t>
      </w:r>
    </w:p>
    <w:p>
      <w:pPr>
        <w:pStyle w:val="BodyText"/>
        <w:spacing w:before="4"/>
        <w:rPr>
          <w:b/>
          <w:sz w:val="22"/>
        </w:rPr>
      </w:pPr>
      <w:r>
        <w:rPr/>
        <w:pict>
          <v:line style="position:absolute;mso-position-horizontal-relative:page;mso-position-vertical-relative:paragraph;z-index:-251658240;mso-wrap-distance-left:0;mso-wrap-distance-right:0" from="70.584pt,16.182501pt" to="541.654pt,16.182501pt" stroked="true" strokeweight="1.44pt" strokecolor="#000000">
            <v:stroke dashstyle="solid"/>
            <w10:wrap type="topAndBottom"/>
          </v:line>
        </w:pict>
      </w:r>
    </w:p>
    <w:p>
      <w:pPr>
        <w:tabs>
          <w:tab w:pos="7073" w:val="left" w:leader="none"/>
          <w:tab w:pos="7880" w:val="left" w:leader="none"/>
        </w:tabs>
        <w:spacing w:line="262" w:lineRule="exact" w:before="0"/>
        <w:ind w:left="220" w:right="0" w:firstLine="0"/>
        <w:jc w:val="left"/>
        <w:rPr>
          <w:sz w:val="24"/>
        </w:rPr>
      </w:pPr>
      <w:r>
        <w:rPr>
          <w:sz w:val="22"/>
        </w:rPr>
        <w:t>F. No. S/22-Gen-343/2017-18</w:t>
      </w:r>
      <w:r>
        <w:rPr>
          <w:spacing w:val="-5"/>
          <w:sz w:val="22"/>
        </w:rPr>
        <w:t> </w:t>
      </w:r>
      <w:r>
        <w:rPr>
          <w:sz w:val="22"/>
        </w:rPr>
        <w:t>AM</w:t>
      </w:r>
      <w:r>
        <w:rPr>
          <w:spacing w:val="-1"/>
          <w:sz w:val="22"/>
        </w:rPr>
        <w:t> </w:t>
      </w:r>
      <w:r>
        <w:rPr>
          <w:sz w:val="22"/>
        </w:rPr>
        <w:t>(I)</w:t>
        <w:tab/>
      </w:r>
      <w:r>
        <w:rPr>
          <w:sz w:val="24"/>
        </w:rPr>
        <w:t>Date:</w:t>
        <w:tab/>
        <w:t>31.08.2017</w:t>
      </w:r>
    </w:p>
    <w:p>
      <w:pPr>
        <w:pStyle w:val="BodyText"/>
        <w:rPr>
          <w:sz w:val="28"/>
        </w:rPr>
      </w:pPr>
    </w:p>
    <w:p>
      <w:pPr>
        <w:spacing w:before="195"/>
        <w:ind w:left="1583" w:right="1580" w:firstLine="0"/>
        <w:jc w:val="center"/>
        <w:rPr>
          <w:b/>
          <w:sz w:val="24"/>
        </w:rPr>
      </w:pPr>
      <w:r>
        <w:rPr>
          <w:b/>
          <w:sz w:val="24"/>
          <w:u w:val="thick"/>
        </w:rPr>
        <w:t>PUBLIC NOTICE NO. 112/2017</w:t>
      </w:r>
    </w:p>
    <w:p>
      <w:pPr>
        <w:pStyle w:val="BodyText"/>
        <w:spacing w:before="3"/>
        <w:rPr>
          <w:b/>
          <w:sz w:val="20"/>
        </w:rPr>
      </w:pPr>
    </w:p>
    <w:p>
      <w:pPr>
        <w:tabs>
          <w:tab w:pos="1429" w:val="left" w:leader="none"/>
          <w:tab w:pos="2179" w:val="left" w:leader="none"/>
          <w:tab w:pos="2937" w:val="left" w:leader="none"/>
          <w:tab w:pos="4321" w:val="left" w:leader="none"/>
          <w:tab w:pos="4671" w:val="left" w:leader="none"/>
          <w:tab w:pos="6120" w:val="left" w:leader="none"/>
          <w:tab w:pos="7701" w:val="left" w:leader="none"/>
          <w:tab w:pos="8152" w:val="left" w:leader="none"/>
        </w:tabs>
        <w:spacing w:before="100"/>
        <w:ind w:left="220" w:right="215" w:firstLine="0"/>
        <w:jc w:val="left"/>
        <w:rPr>
          <w:b/>
          <w:sz w:val="24"/>
        </w:rPr>
      </w:pPr>
      <w:r>
        <w:rPr>
          <w:b/>
          <w:sz w:val="24"/>
        </w:rPr>
        <w:t>Subject:</w:t>
        <w:tab/>
        <w:t>First</w:t>
        <w:tab/>
        <w:t>time</w:t>
        <w:tab/>
        <w:t>importers</w:t>
        <w:tab/>
        <w:t>/</w:t>
        <w:tab/>
        <w:t>exporters,</w:t>
        <w:tab/>
        <w:t>verification</w:t>
        <w:tab/>
        <w:t>of</w:t>
        <w:tab/>
      </w:r>
      <w:r>
        <w:rPr>
          <w:b/>
          <w:spacing w:val="-3"/>
          <w:sz w:val="24"/>
        </w:rPr>
        <w:t>documents- </w:t>
      </w:r>
      <w:r>
        <w:rPr>
          <w:b/>
          <w:sz w:val="24"/>
        </w:rPr>
        <w:t>regarding</w:t>
      </w:r>
    </w:p>
    <w:p>
      <w:pPr>
        <w:pStyle w:val="BodyText"/>
        <w:spacing w:before="11"/>
        <w:rPr>
          <w:b/>
          <w:sz w:val="23"/>
        </w:rPr>
      </w:pPr>
    </w:p>
    <w:p>
      <w:pPr>
        <w:pStyle w:val="BodyText"/>
        <w:spacing w:before="1"/>
        <w:ind w:left="220" w:right="218" w:firstLine="719"/>
        <w:jc w:val="both"/>
      </w:pPr>
      <w:r>
        <w:rPr/>
        <w:t>Attention of all the Importers, Customs Brokers and member of the Trade in the jurisdiction of the Jawaharlal Nehru Custom House (JNCH) is invited to Public Notice No.38/2009 JNCH dated 19.06.2009, Public Notice No.59/2009 JNCH dated 04.09.2009, Public Notice No.06/2015 JNCH dated 21.01.2015  and Public  Notice No.53/2017,  dated 20 April 2017 regarding submission of KYC documents and procedure to be followed in case of first time importers. Attention is also invited to Standing Order No. 37/2009, dated 01.09.2009 regarding verification of genuineness of the exporters, who are exporting goods for the First time through</w:t>
      </w:r>
      <w:r>
        <w:rPr>
          <w:spacing w:val="-2"/>
        </w:rPr>
        <w:t> </w:t>
      </w:r>
      <w:r>
        <w:rPr/>
        <w:t>JNCH.</w:t>
      </w:r>
    </w:p>
    <w:p>
      <w:pPr>
        <w:pStyle w:val="BodyText"/>
        <w:spacing w:before="11"/>
        <w:rPr>
          <w:sz w:val="23"/>
        </w:rPr>
      </w:pPr>
    </w:p>
    <w:p>
      <w:pPr>
        <w:pStyle w:val="ListParagraph"/>
        <w:numPr>
          <w:ilvl w:val="0"/>
          <w:numId w:val="1"/>
        </w:numPr>
        <w:tabs>
          <w:tab w:pos="941" w:val="left" w:leader="none"/>
        </w:tabs>
        <w:spacing w:line="240" w:lineRule="auto" w:before="0" w:after="0"/>
        <w:ind w:left="220" w:right="218" w:firstLine="0"/>
        <w:jc w:val="both"/>
        <w:rPr>
          <w:sz w:val="24"/>
        </w:rPr>
      </w:pPr>
      <w:r>
        <w:rPr>
          <w:sz w:val="24"/>
        </w:rPr>
        <w:t>Representations have been received from first time importers / exporters/ other stakeholders highlighting problems faced during verification of documents by Customs. It has been represented that number of documents are being asked from them, which adds to the transaction cost and also delays the import and export</w:t>
      </w:r>
      <w:r>
        <w:rPr>
          <w:spacing w:val="-11"/>
          <w:sz w:val="24"/>
        </w:rPr>
        <w:t> </w:t>
      </w:r>
      <w:r>
        <w:rPr>
          <w:sz w:val="24"/>
        </w:rPr>
        <w:t>shipments.</w:t>
      </w:r>
    </w:p>
    <w:p>
      <w:pPr>
        <w:pStyle w:val="BodyText"/>
        <w:spacing w:before="1"/>
      </w:pPr>
    </w:p>
    <w:p>
      <w:pPr>
        <w:pStyle w:val="ListParagraph"/>
        <w:numPr>
          <w:ilvl w:val="0"/>
          <w:numId w:val="1"/>
        </w:numPr>
        <w:tabs>
          <w:tab w:pos="883" w:val="left" w:leader="none"/>
        </w:tabs>
        <w:spacing w:line="240" w:lineRule="auto" w:before="1" w:after="0"/>
        <w:ind w:left="220" w:right="213" w:firstLine="0"/>
        <w:jc w:val="both"/>
        <w:rPr>
          <w:sz w:val="24"/>
        </w:rPr>
      </w:pPr>
      <w:r>
        <w:rPr>
          <w:sz w:val="24"/>
        </w:rPr>
        <w:t>With the objective to promote ease of doing business, reducing use of paper, to make import and export easier and hassle free and also to facilitate easy access of database of first time importers / exporters, aforesaid Public Noticeshas been revisited and revised procedure for KYC verification of first time importers / exporters would be as</w:t>
      </w:r>
      <w:r>
        <w:rPr>
          <w:spacing w:val="-1"/>
          <w:sz w:val="24"/>
        </w:rPr>
        <w:t> </w:t>
      </w:r>
      <w:r>
        <w:rPr>
          <w:sz w:val="24"/>
        </w:rPr>
        <w:t>under:</w:t>
      </w:r>
    </w:p>
    <w:p>
      <w:pPr>
        <w:pStyle w:val="BodyText"/>
        <w:spacing w:before="11"/>
        <w:rPr>
          <w:sz w:val="23"/>
        </w:rPr>
      </w:pPr>
    </w:p>
    <w:p>
      <w:pPr>
        <w:pStyle w:val="ListParagraph"/>
        <w:numPr>
          <w:ilvl w:val="1"/>
          <w:numId w:val="1"/>
        </w:numPr>
        <w:tabs>
          <w:tab w:pos="1301" w:val="left" w:leader="none"/>
        </w:tabs>
        <w:spacing w:line="240" w:lineRule="auto" w:before="1" w:after="0"/>
        <w:ind w:left="1300" w:right="217" w:hanging="720"/>
        <w:jc w:val="both"/>
        <w:rPr>
          <w:sz w:val="24"/>
        </w:rPr>
      </w:pPr>
      <w:r>
        <w:rPr>
          <w:sz w:val="24"/>
        </w:rPr>
        <w:t>JNCH has established a ‘Centralized KYC cell’ in Appraising Main (Import), Nhava Sheva-III</w:t>
      </w:r>
      <w:r>
        <w:rPr>
          <w:spacing w:val="-1"/>
          <w:sz w:val="24"/>
        </w:rPr>
        <w:t> </w:t>
      </w:r>
      <w:r>
        <w:rPr>
          <w:sz w:val="24"/>
        </w:rPr>
        <w:t>Commissionerate.</w:t>
      </w:r>
    </w:p>
    <w:p>
      <w:pPr>
        <w:pStyle w:val="BodyText"/>
        <w:spacing w:before="11"/>
        <w:rPr>
          <w:sz w:val="23"/>
        </w:rPr>
      </w:pPr>
    </w:p>
    <w:p>
      <w:pPr>
        <w:pStyle w:val="ListParagraph"/>
        <w:numPr>
          <w:ilvl w:val="1"/>
          <w:numId w:val="1"/>
        </w:numPr>
        <w:tabs>
          <w:tab w:pos="1301" w:val="left" w:leader="none"/>
        </w:tabs>
        <w:spacing w:line="240" w:lineRule="auto" w:before="0" w:after="0"/>
        <w:ind w:left="1300" w:right="215" w:hanging="720"/>
        <w:jc w:val="both"/>
        <w:rPr>
          <w:sz w:val="24"/>
        </w:rPr>
      </w:pPr>
      <w:r>
        <w:rPr>
          <w:sz w:val="24"/>
        </w:rPr>
        <w:t>All such first time importers / exporters or their Custom Broker shall (in addition to copy of IEC Certificate issued by DGFT), submit only document as mentioned in Category-I and only one document from Category-II to the concerned Assessing</w:t>
      </w:r>
      <w:r>
        <w:rPr>
          <w:spacing w:val="-3"/>
          <w:sz w:val="24"/>
        </w:rPr>
        <w:t> </w:t>
      </w:r>
      <w:r>
        <w:rPr>
          <w:sz w:val="24"/>
        </w:rPr>
        <w:t>Officer-</w:t>
      </w:r>
    </w:p>
    <w:p>
      <w:pPr>
        <w:pStyle w:val="BodyText"/>
        <w:spacing w:before="1"/>
      </w:pPr>
    </w:p>
    <w:p>
      <w:pPr>
        <w:pStyle w:val="Heading2"/>
        <w:spacing w:before="1"/>
      </w:pPr>
      <w:r>
        <w:rPr/>
        <w:t>CATEGORY-I</w:t>
      </w:r>
    </w:p>
    <w:p>
      <w:pPr>
        <w:pStyle w:val="ListParagraph"/>
        <w:numPr>
          <w:ilvl w:val="0"/>
          <w:numId w:val="2"/>
        </w:numPr>
        <w:tabs>
          <w:tab w:pos="1301" w:val="left" w:leader="none"/>
        </w:tabs>
        <w:spacing w:line="289" w:lineRule="exact" w:before="0" w:after="0"/>
        <w:ind w:left="1300" w:right="0" w:hanging="721"/>
        <w:jc w:val="both"/>
        <w:rPr>
          <w:sz w:val="24"/>
        </w:rPr>
      </w:pPr>
      <w:r>
        <w:rPr>
          <w:sz w:val="24"/>
        </w:rPr>
        <w:t>In case of Proprietorship Firm: Copy of Aadhaar or Passport of the</w:t>
      </w:r>
      <w:r>
        <w:rPr>
          <w:spacing w:val="-23"/>
          <w:sz w:val="24"/>
        </w:rPr>
        <w:t> </w:t>
      </w:r>
      <w:r>
        <w:rPr>
          <w:sz w:val="24"/>
        </w:rPr>
        <w:t>Proprietor;</w:t>
      </w:r>
    </w:p>
    <w:p>
      <w:pPr>
        <w:pStyle w:val="ListParagraph"/>
        <w:numPr>
          <w:ilvl w:val="0"/>
          <w:numId w:val="2"/>
        </w:numPr>
        <w:tabs>
          <w:tab w:pos="1301" w:val="left" w:leader="none"/>
        </w:tabs>
        <w:spacing w:line="235" w:lineRule="auto" w:before="4" w:after="0"/>
        <w:ind w:left="1300" w:right="211" w:hanging="720"/>
        <w:jc w:val="both"/>
        <w:rPr>
          <w:sz w:val="24"/>
        </w:rPr>
      </w:pPr>
      <w:r>
        <w:rPr>
          <w:sz w:val="24"/>
        </w:rPr>
        <w:t>In case of Partnership Firm: Copy of Aadhaar or Passport of the all the Partners and copy of  Partnership Deed [</w:t>
      </w:r>
      <w:r>
        <w:rPr>
          <w:i/>
          <w:color w:val="212121"/>
          <w:sz w:val="23"/>
        </w:rPr>
        <w:t>A </w:t>
      </w:r>
      <w:r>
        <w:rPr>
          <w:b/>
          <w:i/>
          <w:color w:val="212121"/>
          <w:sz w:val="23"/>
        </w:rPr>
        <w:t>partnership deed</w:t>
      </w:r>
      <w:r>
        <w:rPr>
          <w:i/>
          <w:color w:val="212121"/>
          <w:sz w:val="23"/>
        </w:rPr>
        <w:t>, also known as  a </w:t>
      </w:r>
      <w:r>
        <w:rPr>
          <w:b/>
          <w:i/>
          <w:color w:val="212121"/>
          <w:sz w:val="23"/>
        </w:rPr>
        <w:t>partnership </w:t>
      </w:r>
      <w:r>
        <w:rPr>
          <w:i/>
          <w:color w:val="212121"/>
          <w:sz w:val="23"/>
        </w:rPr>
        <w:t>agreement, is a document that outlines in detail the rights and responsibilities</w:t>
      </w:r>
      <w:r>
        <w:rPr>
          <w:i/>
          <w:color w:val="212121"/>
          <w:spacing w:val="-11"/>
          <w:sz w:val="23"/>
        </w:rPr>
        <w:t> </w:t>
      </w:r>
      <w:r>
        <w:rPr>
          <w:i/>
          <w:color w:val="212121"/>
          <w:sz w:val="23"/>
        </w:rPr>
        <w:t>of</w:t>
      </w:r>
      <w:r>
        <w:rPr>
          <w:i/>
          <w:color w:val="212121"/>
          <w:spacing w:val="-7"/>
          <w:sz w:val="23"/>
        </w:rPr>
        <w:t> </w:t>
      </w:r>
      <w:r>
        <w:rPr>
          <w:i/>
          <w:color w:val="212121"/>
          <w:sz w:val="23"/>
        </w:rPr>
        <w:t>all</w:t>
      </w:r>
      <w:r>
        <w:rPr>
          <w:i/>
          <w:color w:val="212121"/>
          <w:spacing w:val="-8"/>
          <w:sz w:val="23"/>
        </w:rPr>
        <w:t> </w:t>
      </w:r>
      <w:r>
        <w:rPr>
          <w:i/>
          <w:color w:val="212121"/>
          <w:sz w:val="23"/>
        </w:rPr>
        <w:t>parties</w:t>
      </w:r>
      <w:r>
        <w:rPr>
          <w:i/>
          <w:color w:val="212121"/>
          <w:spacing w:val="-8"/>
          <w:sz w:val="23"/>
        </w:rPr>
        <w:t> </w:t>
      </w:r>
      <w:r>
        <w:rPr>
          <w:i/>
          <w:color w:val="212121"/>
          <w:sz w:val="23"/>
        </w:rPr>
        <w:t>to</w:t>
      </w:r>
      <w:r>
        <w:rPr>
          <w:i/>
          <w:color w:val="212121"/>
          <w:spacing w:val="-7"/>
          <w:sz w:val="23"/>
        </w:rPr>
        <w:t> </w:t>
      </w:r>
      <w:r>
        <w:rPr>
          <w:i/>
          <w:color w:val="212121"/>
          <w:sz w:val="23"/>
        </w:rPr>
        <w:t>a</w:t>
      </w:r>
      <w:r>
        <w:rPr>
          <w:i/>
          <w:color w:val="212121"/>
          <w:spacing w:val="-9"/>
          <w:sz w:val="23"/>
        </w:rPr>
        <w:t> </w:t>
      </w:r>
      <w:r>
        <w:rPr>
          <w:i/>
          <w:color w:val="212121"/>
          <w:sz w:val="23"/>
        </w:rPr>
        <w:t>business</w:t>
      </w:r>
      <w:r>
        <w:rPr>
          <w:i/>
          <w:color w:val="212121"/>
          <w:spacing w:val="-8"/>
          <w:sz w:val="23"/>
        </w:rPr>
        <w:t> </w:t>
      </w:r>
      <w:r>
        <w:rPr>
          <w:i/>
          <w:color w:val="212121"/>
          <w:sz w:val="23"/>
        </w:rPr>
        <w:t>operation</w:t>
      </w:r>
      <w:r>
        <w:rPr>
          <w:i/>
          <w:color w:val="212121"/>
          <w:sz w:val="25"/>
        </w:rPr>
        <w:t>]</w:t>
      </w:r>
      <w:r>
        <w:rPr>
          <w:sz w:val="24"/>
        </w:rPr>
        <w:t>;</w:t>
      </w:r>
      <w:r>
        <w:rPr>
          <w:spacing w:val="-6"/>
          <w:sz w:val="24"/>
        </w:rPr>
        <w:t> </w:t>
      </w:r>
      <w:r>
        <w:rPr>
          <w:sz w:val="24"/>
        </w:rPr>
        <w:t>or</w:t>
      </w:r>
    </w:p>
    <w:p>
      <w:pPr>
        <w:pStyle w:val="ListParagraph"/>
        <w:numPr>
          <w:ilvl w:val="0"/>
          <w:numId w:val="2"/>
        </w:numPr>
        <w:tabs>
          <w:tab w:pos="1301" w:val="left" w:leader="none"/>
        </w:tabs>
        <w:spacing w:line="240" w:lineRule="auto" w:before="0" w:after="0"/>
        <w:ind w:left="1300" w:right="215" w:hanging="720"/>
        <w:jc w:val="both"/>
        <w:rPr>
          <w:sz w:val="24"/>
        </w:rPr>
      </w:pPr>
      <w:r>
        <w:rPr>
          <w:sz w:val="24"/>
        </w:rPr>
        <w:t>In case of Limited Liability Partnership: Copy of Aadhaar or Passport of the designated partners + </w:t>
      </w:r>
      <w:r>
        <w:rPr>
          <w:color w:val="212121"/>
          <w:sz w:val="24"/>
        </w:rPr>
        <w:t>Certificate of Registration issued by Registrar + </w:t>
      </w:r>
      <w:r>
        <w:rPr>
          <w:sz w:val="24"/>
        </w:rPr>
        <w:t>LLP Agreement (</w:t>
      </w:r>
      <w:r>
        <w:rPr>
          <w:sz w:val="22"/>
        </w:rPr>
        <w:t>Charter denotes its scope of</w:t>
      </w:r>
      <w:r>
        <w:rPr>
          <w:spacing w:val="-8"/>
          <w:sz w:val="22"/>
        </w:rPr>
        <w:t> </w:t>
      </w:r>
      <w:r>
        <w:rPr>
          <w:sz w:val="22"/>
        </w:rPr>
        <w:t>operation</w:t>
      </w:r>
      <w:r>
        <w:rPr>
          <w:sz w:val="24"/>
        </w:rPr>
        <w:t>).;</w:t>
      </w:r>
    </w:p>
    <w:p>
      <w:pPr>
        <w:pStyle w:val="ListParagraph"/>
        <w:numPr>
          <w:ilvl w:val="0"/>
          <w:numId w:val="2"/>
        </w:numPr>
        <w:tabs>
          <w:tab w:pos="1301" w:val="left" w:leader="none"/>
        </w:tabs>
        <w:spacing w:line="240" w:lineRule="auto" w:before="0" w:after="0"/>
        <w:ind w:left="1300" w:right="220" w:hanging="720"/>
        <w:jc w:val="both"/>
        <w:rPr>
          <w:sz w:val="24"/>
        </w:rPr>
      </w:pPr>
      <w:r>
        <w:rPr>
          <w:sz w:val="24"/>
        </w:rPr>
        <w:t>In case of Company: Copy of Aadhaar or Passport of the present Managing Director / any other Director+</w:t>
      </w:r>
      <w:r>
        <w:rPr>
          <w:color w:val="212121"/>
          <w:sz w:val="24"/>
        </w:rPr>
        <w:t>Certificate of Registration issued by</w:t>
      </w:r>
      <w:r>
        <w:rPr>
          <w:color w:val="212121"/>
          <w:spacing w:val="73"/>
          <w:sz w:val="24"/>
        </w:rPr>
        <w:t> </w:t>
      </w:r>
      <w:r>
        <w:rPr>
          <w:color w:val="212121"/>
          <w:sz w:val="24"/>
        </w:rPr>
        <w:t>Registrar</w:t>
      </w:r>
    </w:p>
    <w:p>
      <w:pPr>
        <w:pStyle w:val="BodyText"/>
        <w:ind w:left="1300" w:right="217"/>
        <w:jc w:val="both"/>
      </w:pPr>
      <w:r>
        <w:rPr>
          <w:color w:val="212121"/>
        </w:rPr>
        <w:t>+</w:t>
      </w:r>
      <w:r>
        <w:rPr/>
        <w:t>Memorandum and Articles of Association (Charter of the Company which defines its scope of operation);</w:t>
      </w:r>
    </w:p>
    <w:p>
      <w:pPr>
        <w:pStyle w:val="Heading2"/>
        <w:spacing w:line="289" w:lineRule="exact"/>
      </w:pPr>
      <w:r>
        <w:rPr/>
        <w:t>CATEGORY-II</w:t>
      </w:r>
    </w:p>
    <w:p>
      <w:pPr>
        <w:pStyle w:val="ListParagraph"/>
        <w:numPr>
          <w:ilvl w:val="0"/>
          <w:numId w:val="3"/>
        </w:numPr>
        <w:tabs>
          <w:tab w:pos="1301" w:val="left" w:leader="none"/>
        </w:tabs>
        <w:spacing w:line="240" w:lineRule="auto" w:before="0" w:after="0"/>
        <w:ind w:left="1300" w:right="214" w:hanging="720"/>
        <w:jc w:val="both"/>
        <w:rPr>
          <w:sz w:val="24"/>
        </w:rPr>
      </w:pPr>
      <w:r>
        <w:rPr>
          <w:sz w:val="24"/>
        </w:rPr>
        <w:t>A copy of Income Tax Return/VAT or Sale Tax Return / GST Return filed for the previous / current year / month, as the case may be;</w:t>
      </w:r>
      <w:r>
        <w:rPr>
          <w:spacing w:val="-11"/>
          <w:sz w:val="24"/>
        </w:rPr>
        <w:t> </w:t>
      </w:r>
      <w:r>
        <w:rPr>
          <w:sz w:val="24"/>
        </w:rPr>
        <w:t>or</w:t>
      </w:r>
    </w:p>
    <w:p>
      <w:pPr>
        <w:pStyle w:val="ListParagraph"/>
        <w:numPr>
          <w:ilvl w:val="0"/>
          <w:numId w:val="3"/>
        </w:numPr>
        <w:tabs>
          <w:tab w:pos="1301" w:val="left" w:leader="none"/>
        </w:tabs>
        <w:spacing w:line="240" w:lineRule="auto" w:before="0" w:after="0"/>
        <w:ind w:left="1300" w:right="220" w:hanging="720"/>
        <w:jc w:val="both"/>
        <w:rPr>
          <w:sz w:val="24"/>
        </w:rPr>
      </w:pPr>
      <w:r>
        <w:rPr>
          <w:sz w:val="24"/>
        </w:rPr>
        <w:t>Certificate from the Bank, with whom the Bank Account is being maintained for the purpose of remittance of foreign exchange to the effect that account is being maintained</w:t>
      </w:r>
      <w:r>
        <w:rPr>
          <w:spacing w:val="-2"/>
          <w:sz w:val="24"/>
        </w:rPr>
        <w:t> </w:t>
      </w:r>
      <w:r>
        <w:rPr>
          <w:sz w:val="24"/>
        </w:rPr>
        <w:t>satisfactorily.</w:t>
      </w:r>
    </w:p>
    <w:p>
      <w:pPr>
        <w:spacing w:after="0" w:line="240" w:lineRule="auto"/>
        <w:jc w:val="both"/>
        <w:rPr>
          <w:sz w:val="24"/>
        </w:rPr>
        <w:sectPr>
          <w:footerReference w:type="default" r:id="rId5"/>
          <w:type w:val="continuous"/>
          <w:pgSz w:w="12250" w:h="20170"/>
          <w:pgMar w:footer="1000" w:top="900" w:bottom="1200" w:left="1220" w:right="1220"/>
          <w:pgNumType w:start="1"/>
        </w:sectPr>
      </w:pPr>
    </w:p>
    <w:p>
      <w:pPr>
        <w:pStyle w:val="ListParagraph"/>
        <w:numPr>
          <w:ilvl w:val="0"/>
          <w:numId w:val="1"/>
        </w:numPr>
        <w:tabs>
          <w:tab w:pos="537" w:val="left" w:leader="none"/>
        </w:tabs>
        <w:spacing w:line="240" w:lineRule="auto" w:before="79" w:after="0"/>
        <w:ind w:left="220" w:right="214" w:firstLine="0"/>
        <w:jc w:val="both"/>
        <w:rPr>
          <w:sz w:val="24"/>
        </w:rPr>
      </w:pPr>
      <w:r>
        <w:rPr>
          <w:sz w:val="24"/>
        </w:rPr>
        <w:t>Further, if an importer / exporter has exported/imported from any other Customs House and submits proof of past Export/Import made, then, normally, fresh set of documents should not be insisted upon, except for random verification, wherever necessary.</w:t>
      </w:r>
    </w:p>
    <w:p>
      <w:pPr>
        <w:pStyle w:val="BodyText"/>
        <w:spacing w:before="1"/>
      </w:pPr>
    </w:p>
    <w:p>
      <w:pPr>
        <w:pStyle w:val="ListParagraph"/>
        <w:numPr>
          <w:ilvl w:val="0"/>
          <w:numId w:val="1"/>
        </w:numPr>
        <w:tabs>
          <w:tab w:pos="941" w:val="left" w:leader="none"/>
        </w:tabs>
        <w:spacing w:line="240" w:lineRule="auto" w:before="0" w:after="0"/>
        <w:ind w:left="220" w:right="218" w:firstLine="0"/>
        <w:jc w:val="both"/>
        <w:rPr>
          <w:sz w:val="24"/>
        </w:rPr>
      </w:pPr>
      <w:r>
        <w:rPr>
          <w:sz w:val="24"/>
        </w:rPr>
        <w:t>It is being expected from Customs Brokers that they discharge their obligations as per Regulation 11 of Customs Broker Licensing Regulations, 2013 (relevant text reproduced below for reference) in proper form and manner and exercise all due diligence.</w:t>
      </w:r>
    </w:p>
    <w:p>
      <w:pPr>
        <w:pStyle w:val="BodyText"/>
        <w:rPr>
          <w:sz w:val="28"/>
        </w:rPr>
      </w:pPr>
    </w:p>
    <w:p>
      <w:pPr>
        <w:spacing w:before="241"/>
        <w:ind w:left="940" w:right="0" w:firstLine="0"/>
        <w:jc w:val="both"/>
        <w:rPr>
          <w:b/>
          <w:i/>
          <w:sz w:val="25"/>
        </w:rPr>
      </w:pPr>
      <w:r>
        <w:rPr>
          <w:b/>
          <w:i/>
          <w:sz w:val="25"/>
        </w:rPr>
        <w:t>11. Obligations of Customs Broker.-</w:t>
      </w:r>
    </w:p>
    <w:p>
      <w:pPr>
        <w:pStyle w:val="Heading1"/>
      </w:pPr>
      <w:r>
        <w:rPr/>
        <w:t>A Customs Broker shall -</w:t>
      </w:r>
    </w:p>
    <w:p>
      <w:pPr>
        <w:pStyle w:val="ListParagraph"/>
        <w:numPr>
          <w:ilvl w:val="0"/>
          <w:numId w:val="4"/>
        </w:numPr>
        <w:tabs>
          <w:tab w:pos="1399" w:val="left" w:leader="none"/>
        </w:tabs>
        <w:spacing w:line="230" w:lineRule="auto" w:before="73" w:after="0"/>
        <w:ind w:left="940" w:right="219" w:firstLine="0"/>
        <w:jc w:val="both"/>
        <w:rPr>
          <w:i/>
          <w:sz w:val="25"/>
        </w:rPr>
      </w:pPr>
      <w:r>
        <w:rPr>
          <w:i/>
          <w:sz w:val="25"/>
        </w:rPr>
        <w:t>verify antecedent, correctness of Importer Exporter Code (IEC) number, identity</w:t>
      </w:r>
      <w:r>
        <w:rPr>
          <w:i/>
          <w:spacing w:val="-25"/>
          <w:sz w:val="25"/>
        </w:rPr>
        <w:t> </w:t>
      </w:r>
      <w:r>
        <w:rPr>
          <w:i/>
          <w:sz w:val="25"/>
        </w:rPr>
        <w:t>of</w:t>
      </w:r>
      <w:r>
        <w:rPr>
          <w:i/>
          <w:spacing w:val="-24"/>
          <w:sz w:val="25"/>
        </w:rPr>
        <w:t> </w:t>
      </w:r>
      <w:r>
        <w:rPr>
          <w:i/>
          <w:sz w:val="25"/>
        </w:rPr>
        <w:t>his</w:t>
      </w:r>
      <w:r>
        <w:rPr>
          <w:i/>
          <w:spacing w:val="-24"/>
          <w:sz w:val="25"/>
        </w:rPr>
        <w:t> </w:t>
      </w:r>
      <w:r>
        <w:rPr>
          <w:i/>
          <w:sz w:val="25"/>
        </w:rPr>
        <w:t>client</w:t>
      </w:r>
      <w:r>
        <w:rPr>
          <w:i/>
          <w:spacing w:val="-25"/>
          <w:sz w:val="25"/>
        </w:rPr>
        <w:t> </w:t>
      </w:r>
      <w:r>
        <w:rPr>
          <w:i/>
          <w:sz w:val="25"/>
        </w:rPr>
        <w:t>and</w:t>
      </w:r>
      <w:r>
        <w:rPr>
          <w:i/>
          <w:spacing w:val="-25"/>
          <w:sz w:val="25"/>
        </w:rPr>
        <w:t> </w:t>
      </w:r>
      <w:r>
        <w:rPr>
          <w:i/>
          <w:sz w:val="25"/>
        </w:rPr>
        <w:t>functioning</w:t>
      </w:r>
      <w:r>
        <w:rPr>
          <w:i/>
          <w:spacing w:val="-25"/>
          <w:sz w:val="25"/>
        </w:rPr>
        <w:t> </w:t>
      </w:r>
      <w:r>
        <w:rPr>
          <w:i/>
          <w:sz w:val="25"/>
        </w:rPr>
        <w:t>of</w:t>
      </w:r>
      <w:r>
        <w:rPr>
          <w:i/>
          <w:spacing w:val="-25"/>
          <w:sz w:val="25"/>
        </w:rPr>
        <w:t> </w:t>
      </w:r>
      <w:r>
        <w:rPr>
          <w:i/>
          <w:sz w:val="25"/>
        </w:rPr>
        <w:t>his</w:t>
      </w:r>
      <w:r>
        <w:rPr>
          <w:i/>
          <w:spacing w:val="-23"/>
          <w:sz w:val="25"/>
        </w:rPr>
        <w:t> </w:t>
      </w:r>
      <w:r>
        <w:rPr>
          <w:i/>
          <w:sz w:val="25"/>
        </w:rPr>
        <w:t>client</w:t>
      </w:r>
      <w:r>
        <w:rPr>
          <w:i/>
          <w:spacing w:val="-25"/>
          <w:sz w:val="25"/>
        </w:rPr>
        <w:t> </w:t>
      </w:r>
      <w:r>
        <w:rPr>
          <w:i/>
          <w:sz w:val="25"/>
        </w:rPr>
        <w:t>at</w:t>
      </w:r>
      <w:r>
        <w:rPr>
          <w:i/>
          <w:spacing w:val="-24"/>
          <w:sz w:val="25"/>
        </w:rPr>
        <w:t> </w:t>
      </w:r>
      <w:r>
        <w:rPr>
          <w:i/>
          <w:sz w:val="25"/>
        </w:rPr>
        <w:t>the</w:t>
      </w:r>
      <w:r>
        <w:rPr>
          <w:i/>
          <w:spacing w:val="-24"/>
          <w:sz w:val="25"/>
        </w:rPr>
        <w:t> </w:t>
      </w:r>
      <w:r>
        <w:rPr>
          <w:i/>
          <w:sz w:val="25"/>
        </w:rPr>
        <w:t>declared</w:t>
      </w:r>
      <w:r>
        <w:rPr>
          <w:i/>
          <w:spacing w:val="-23"/>
          <w:sz w:val="25"/>
        </w:rPr>
        <w:t> </w:t>
      </w:r>
      <w:r>
        <w:rPr>
          <w:i/>
          <w:sz w:val="25"/>
        </w:rPr>
        <w:t>address</w:t>
      </w:r>
      <w:r>
        <w:rPr>
          <w:i/>
          <w:spacing w:val="-24"/>
          <w:sz w:val="25"/>
        </w:rPr>
        <w:t> </w:t>
      </w:r>
      <w:r>
        <w:rPr>
          <w:i/>
          <w:sz w:val="25"/>
        </w:rPr>
        <w:t>by</w:t>
      </w:r>
      <w:r>
        <w:rPr>
          <w:i/>
          <w:spacing w:val="-25"/>
          <w:sz w:val="25"/>
        </w:rPr>
        <w:t> </w:t>
      </w:r>
      <w:r>
        <w:rPr>
          <w:i/>
          <w:sz w:val="25"/>
        </w:rPr>
        <w:t>using reliable,</w:t>
      </w:r>
      <w:r>
        <w:rPr>
          <w:i/>
          <w:spacing w:val="-17"/>
          <w:sz w:val="25"/>
        </w:rPr>
        <w:t> </w:t>
      </w:r>
      <w:r>
        <w:rPr>
          <w:i/>
          <w:sz w:val="25"/>
        </w:rPr>
        <w:t>independent,</w:t>
      </w:r>
      <w:r>
        <w:rPr>
          <w:i/>
          <w:spacing w:val="-17"/>
          <w:sz w:val="25"/>
        </w:rPr>
        <w:t> </w:t>
      </w:r>
      <w:r>
        <w:rPr>
          <w:i/>
          <w:sz w:val="25"/>
        </w:rPr>
        <w:t>authentic</w:t>
      </w:r>
      <w:r>
        <w:rPr>
          <w:i/>
          <w:spacing w:val="-16"/>
          <w:sz w:val="25"/>
        </w:rPr>
        <w:t> </w:t>
      </w:r>
      <w:r>
        <w:rPr>
          <w:i/>
          <w:sz w:val="25"/>
        </w:rPr>
        <w:t>documents,</w:t>
      </w:r>
      <w:r>
        <w:rPr>
          <w:i/>
          <w:spacing w:val="-15"/>
          <w:sz w:val="25"/>
        </w:rPr>
        <w:t> </w:t>
      </w:r>
      <w:r>
        <w:rPr>
          <w:i/>
          <w:sz w:val="25"/>
        </w:rPr>
        <w:t>data</w:t>
      </w:r>
      <w:r>
        <w:rPr>
          <w:i/>
          <w:spacing w:val="-16"/>
          <w:sz w:val="25"/>
        </w:rPr>
        <w:t> </w:t>
      </w:r>
      <w:r>
        <w:rPr>
          <w:i/>
          <w:sz w:val="25"/>
        </w:rPr>
        <w:t>or</w:t>
      </w:r>
      <w:r>
        <w:rPr>
          <w:i/>
          <w:spacing w:val="-13"/>
          <w:sz w:val="25"/>
        </w:rPr>
        <w:t> </w:t>
      </w:r>
      <w:r>
        <w:rPr>
          <w:i/>
          <w:sz w:val="25"/>
        </w:rPr>
        <w:t>information;</w:t>
      </w:r>
      <w:r>
        <w:rPr>
          <w:i/>
          <w:spacing w:val="-16"/>
          <w:sz w:val="25"/>
        </w:rPr>
        <w:t> </w:t>
      </w:r>
      <w:r>
        <w:rPr>
          <w:i/>
          <w:sz w:val="25"/>
        </w:rPr>
        <w:t>and</w:t>
      </w:r>
    </w:p>
    <w:p>
      <w:pPr>
        <w:pStyle w:val="ListParagraph"/>
        <w:numPr>
          <w:ilvl w:val="0"/>
          <w:numId w:val="4"/>
        </w:numPr>
        <w:tabs>
          <w:tab w:pos="1356" w:val="left" w:leader="none"/>
        </w:tabs>
        <w:spacing w:line="230" w:lineRule="auto" w:before="75" w:after="0"/>
        <w:ind w:left="940" w:right="218" w:firstLine="0"/>
        <w:jc w:val="both"/>
        <w:rPr>
          <w:i/>
          <w:sz w:val="25"/>
        </w:rPr>
      </w:pPr>
      <w:r>
        <w:rPr>
          <w:i/>
          <w:sz w:val="25"/>
        </w:rPr>
        <w:t>inform any change of postal address, telephone number, e-mail etc. to the Deputy</w:t>
      </w:r>
      <w:r>
        <w:rPr>
          <w:i/>
          <w:spacing w:val="-22"/>
          <w:sz w:val="25"/>
        </w:rPr>
        <w:t> </w:t>
      </w:r>
      <w:r>
        <w:rPr>
          <w:i/>
          <w:sz w:val="25"/>
        </w:rPr>
        <w:t>Commissioner</w:t>
      </w:r>
      <w:r>
        <w:rPr>
          <w:i/>
          <w:spacing w:val="-22"/>
          <w:sz w:val="25"/>
        </w:rPr>
        <w:t> </w:t>
      </w:r>
      <w:r>
        <w:rPr>
          <w:i/>
          <w:sz w:val="25"/>
        </w:rPr>
        <w:t>of</w:t>
      </w:r>
      <w:r>
        <w:rPr>
          <w:i/>
          <w:spacing w:val="-21"/>
          <w:sz w:val="25"/>
        </w:rPr>
        <w:t> </w:t>
      </w:r>
      <w:r>
        <w:rPr>
          <w:i/>
          <w:sz w:val="25"/>
        </w:rPr>
        <w:t>Customs</w:t>
      </w:r>
      <w:r>
        <w:rPr>
          <w:i/>
          <w:spacing w:val="-20"/>
          <w:sz w:val="25"/>
        </w:rPr>
        <w:t> </w:t>
      </w:r>
      <w:r>
        <w:rPr>
          <w:i/>
          <w:sz w:val="25"/>
        </w:rPr>
        <w:t>or</w:t>
      </w:r>
      <w:r>
        <w:rPr>
          <w:i/>
          <w:spacing w:val="-22"/>
          <w:sz w:val="25"/>
        </w:rPr>
        <w:t> </w:t>
      </w:r>
      <w:r>
        <w:rPr>
          <w:i/>
          <w:sz w:val="25"/>
        </w:rPr>
        <w:t>Assistant</w:t>
      </w:r>
      <w:r>
        <w:rPr>
          <w:i/>
          <w:spacing w:val="-22"/>
          <w:sz w:val="25"/>
        </w:rPr>
        <w:t> </w:t>
      </w:r>
      <w:r>
        <w:rPr>
          <w:i/>
          <w:sz w:val="25"/>
        </w:rPr>
        <w:t>Commissioner</w:t>
      </w:r>
      <w:r>
        <w:rPr>
          <w:i/>
          <w:spacing w:val="-22"/>
          <w:sz w:val="25"/>
        </w:rPr>
        <w:t> </w:t>
      </w:r>
      <w:r>
        <w:rPr>
          <w:i/>
          <w:sz w:val="25"/>
        </w:rPr>
        <w:t>of</w:t>
      </w:r>
      <w:r>
        <w:rPr>
          <w:i/>
          <w:spacing w:val="-20"/>
          <w:sz w:val="25"/>
        </w:rPr>
        <w:t> </w:t>
      </w:r>
      <w:r>
        <w:rPr>
          <w:i/>
          <w:sz w:val="25"/>
        </w:rPr>
        <w:t>Customs,</w:t>
      </w:r>
      <w:r>
        <w:rPr>
          <w:i/>
          <w:spacing w:val="-22"/>
          <w:sz w:val="25"/>
        </w:rPr>
        <w:t> </w:t>
      </w:r>
      <w:r>
        <w:rPr>
          <w:i/>
          <w:sz w:val="25"/>
        </w:rPr>
        <w:t>as</w:t>
      </w:r>
      <w:r>
        <w:rPr>
          <w:i/>
          <w:spacing w:val="-20"/>
          <w:sz w:val="25"/>
        </w:rPr>
        <w:t> </w:t>
      </w:r>
      <w:r>
        <w:rPr>
          <w:i/>
          <w:sz w:val="25"/>
        </w:rPr>
        <w:t>the case may be within one month of such</w:t>
      </w:r>
      <w:r>
        <w:rPr>
          <w:i/>
          <w:spacing w:val="17"/>
          <w:sz w:val="25"/>
        </w:rPr>
        <w:t> </w:t>
      </w:r>
      <w:r>
        <w:rPr>
          <w:i/>
          <w:sz w:val="25"/>
        </w:rPr>
        <w:t>change.</w:t>
      </w:r>
    </w:p>
    <w:p>
      <w:pPr>
        <w:pStyle w:val="BodyText"/>
        <w:spacing w:before="4"/>
        <w:rPr>
          <w:i/>
          <w:sz w:val="30"/>
        </w:rPr>
      </w:pPr>
    </w:p>
    <w:p>
      <w:pPr>
        <w:pStyle w:val="Heading2"/>
      </w:pPr>
      <w:r>
        <w:rPr/>
        <w:t>PROCEDURE</w:t>
      </w:r>
    </w:p>
    <w:p>
      <w:pPr>
        <w:pStyle w:val="BodyText"/>
        <w:spacing w:before="11"/>
        <w:rPr>
          <w:b/>
          <w:sz w:val="23"/>
        </w:rPr>
      </w:pPr>
    </w:p>
    <w:p>
      <w:pPr>
        <w:pStyle w:val="ListParagraph"/>
        <w:numPr>
          <w:ilvl w:val="1"/>
          <w:numId w:val="1"/>
        </w:numPr>
        <w:tabs>
          <w:tab w:pos="941" w:val="left" w:leader="none"/>
        </w:tabs>
        <w:spacing w:line="240" w:lineRule="auto" w:before="1" w:after="0"/>
        <w:ind w:left="940" w:right="219" w:hanging="480"/>
        <w:jc w:val="both"/>
        <w:rPr>
          <w:rFonts w:ascii="Arial"/>
          <w:sz w:val="24"/>
        </w:rPr>
      </w:pPr>
      <w:r>
        <w:rPr>
          <w:sz w:val="24"/>
        </w:rPr>
        <w:t>The </w:t>
      </w:r>
      <w:r>
        <w:rPr>
          <w:b/>
          <w:sz w:val="24"/>
        </w:rPr>
        <w:t>first time Importer </w:t>
      </w:r>
      <w:r>
        <w:rPr>
          <w:sz w:val="24"/>
        </w:rPr>
        <w:t>shall submit the required documents as mentioned above in the concerned assessing group and obtain acknowledgment. Similarly, </w:t>
      </w:r>
      <w:r>
        <w:rPr>
          <w:rFonts w:ascii="Arial"/>
          <w:sz w:val="24"/>
        </w:rPr>
        <w:t>Export Assessment Cell (CEAC) will be single point for collection of aforesaid documents from </w:t>
      </w:r>
      <w:r>
        <w:rPr>
          <w:rFonts w:ascii="Arial"/>
          <w:b/>
          <w:sz w:val="24"/>
        </w:rPr>
        <w:t>first time</w:t>
      </w:r>
      <w:r>
        <w:rPr>
          <w:rFonts w:ascii="Arial"/>
          <w:b/>
          <w:spacing w:val="2"/>
          <w:sz w:val="24"/>
        </w:rPr>
        <w:t> </w:t>
      </w:r>
      <w:r>
        <w:rPr>
          <w:rFonts w:ascii="Arial"/>
          <w:b/>
          <w:sz w:val="24"/>
        </w:rPr>
        <w:t>exporters</w:t>
      </w:r>
      <w:r>
        <w:rPr>
          <w:rFonts w:ascii="Arial"/>
          <w:sz w:val="24"/>
        </w:rPr>
        <w:t>.</w:t>
      </w:r>
    </w:p>
    <w:p>
      <w:pPr>
        <w:pStyle w:val="BodyText"/>
        <w:rPr>
          <w:rFonts w:ascii="Arial"/>
        </w:rPr>
      </w:pPr>
    </w:p>
    <w:p>
      <w:pPr>
        <w:pStyle w:val="ListParagraph"/>
        <w:numPr>
          <w:ilvl w:val="1"/>
          <w:numId w:val="1"/>
        </w:numPr>
        <w:tabs>
          <w:tab w:pos="941" w:val="left" w:leader="none"/>
        </w:tabs>
        <w:spacing w:line="240" w:lineRule="auto" w:before="0" w:after="0"/>
        <w:ind w:left="940" w:right="216" w:hanging="533"/>
        <w:jc w:val="both"/>
        <w:rPr>
          <w:rFonts w:ascii="Arial"/>
          <w:sz w:val="24"/>
        </w:rPr>
      </w:pPr>
      <w:r>
        <w:rPr>
          <w:rFonts w:ascii="Arial"/>
          <w:sz w:val="24"/>
        </w:rPr>
        <w:t>The assessing officer/Supdt. (P) in concerned assessment group (in case of first time importer) or Central Export Assessment Cell (CEAC) (in case of first time exporter)</w:t>
      </w:r>
      <w:r>
        <w:rPr>
          <w:rFonts w:ascii="Arial"/>
          <w:b/>
          <w:sz w:val="24"/>
        </w:rPr>
        <w:t>, </w:t>
      </w:r>
      <w:r>
        <w:rPr>
          <w:rFonts w:ascii="Arial"/>
          <w:sz w:val="24"/>
        </w:rPr>
        <w:t>who had received the documents, will open a separate file for each such first time importer / exporter, as the case may be and File No should be mentioned in the Departmental Comment column of Bill of entry / shipping bill, as the case may</w:t>
      </w:r>
      <w:r>
        <w:rPr>
          <w:rFonts w:ascii="Arial"/>
          <w:spacing w:val="-5"/>
          <w:sz w:val="24"/>
        </w:rPr>
        <w:t> </w:t>
      </w:r>
      <w:r>
        <w:rPr>
          <w:rFonts w:ascii="Arial"/>
          <w:sz w:val="24"/>
        </w:rPr>
        <w:t>be.</w:t>
      </w:r>
    </w:p>
    <w:p>
      <w:pPr>
        <w:pStyle w:val="BodyText"/>
        <w:spacing w:before="3"/>
        <w:rPr>
          <w:rFonts w:ascii="Arial"/>
        </w:rPr>
      </w:pPr>
    </w:p>
    <w:p>
      <w:pPr>
        <w:pStyle w:val="ListParagraph"/>
        <w:numPr>
          <w:ilvl w:val="1"/>
          <w:numId w:val="1"/>
        </w:numPr>
        <w:tabs>
          <w:tab w:pos="941" w:val="left" w:leader="none"/>
        </w:tabs>
        <w:spacing w:line="237" w:lineRule="auto" w:before="0" w:after="0"/>
        <w:ind w:left="940" w:right="215" w:hanging="598"/>
        <w:jc w:val="both"/>
        <w:rPr>
          <w:sz w:val="24"/>
        </w:rPr>
      </w:pPr>
      <w:r>
        <w:rPr>
          <w:rFonts w:ascii="Arial" w:hAnsi="Arial"/>
          <w:sz w:val="24"/>
        </w:rPr>
        <w:t>Thereafter, they should forward all the documents to the </w:t>
      </w:r>
      <w:r>
        <w:rPr>
          <w:sz w:val="24"/>
        </w:rPr>
        <w:t>“Deputy/Assistant Commissioner of Customs, Centralized KYC</w:t>
      </w:r>
      <w:r>
        <w:rPr>
          <w:spacing w:val="-7"/>
          <w:sz w:val="24"/>
        </w:rPr>
        <w:t> </w:t>
      </w:r>
      <w:r>
        <w:rPr>
          <w:sz w:val="24"/>
        </w:rPr>
        <w:t>Cell”.</w:t>
      </w:r>
    </w:p>
    <w:p>
      <w:pPr>
        <w:pStyle w:val="BodyText"/>
        <w:spacing w:before="1"/>
      </w:pPr>
    </w:p>
    <w:p>
      <w:pPr>
        <w:pStyle w:val="ListParagraph"/>
        <w:numPr>
          <w:ilvl w:val="1"/>
          <w:numId w:val="1"/>
        </w:numPr>
        <w:tabs>
          <w:tab w:pos="941" w:val="left" w:leader="none"/>
        </w:tabs>
        <w:spacing w:line="240" w:lineRule="auto" w:before="1" w:after="0"/>
        <w:ind w:left="940" w:right="217" w:hanging="600"/>
        <w:jc w:val="both"/>
        <w:rPr>
          <w:rFonts w:ascii="Arial"/>
          <w:sz w:val="24"/>
        </w:rPr>
      </w:pPr>
      <w:r>
        <w:rPr>
          <w:sz w:val="24"/>
        </w:rPr>
        <w:t>The Deputy/Assistant Commissioner of Customs, Centralized KYC cell will send a list of above mentioned importers / exporters on fortnightly basis to the Deputy / Assistant Commissioner of Customs, EDI for uploading the same on the JNCH website</w:t>
      </w:r>
      <w:r>
        <w:rPr>
          <w:rFonts w:ascii="Arial"/>
          <w:sz w:val="24"/>
        </w:rPr>
        <w:t>in the following</w:t>
      </w:r>
      <w:r>
        <w:rPr>
          <w:rFonts w:ascii="Arial"/>
          <w:spacing w:val="-4"/>
          <w:sz w:val="24"/>
        </w:rPr>
        <w:t> </w:t>
      </w:r>
      <w:r>
        <w:rPr>
          <w:rFonts w:ascii="Arial"/>
          <w:sz w:val="24"/>
        </w:rPr>
        <w:t>format:</w:t>
      </w:r>
    </w:p>
    <w:p>
      <w:pPr>
        <w:pStyle w:val="BodyText"/>
        <w:rPr>
          <w:rFonts w:ascii="Arial"/>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43"/>
        <w:gridCol w:w="2619"/>
        <w:gridCol w:w="2019"/>
        <w:gridCol w:w="1957"/>
        <w:gridCol w:w="1743"/>
      </w:tblGrid>
      <w:tr>
        <w:trPr>
          <w:trHeight w:val="552" w:hRule="atLeast"/>
        </w:trPr>
        <w:tc>
          <w:tcPr>
            <w:tcW w:w="9581" w:type="dxa"/>
            <w:gridSpan w:val="5"/>
          </w:tcPr>
          <w:p>
            <w:pPr>
              <w:pStyle w:val="TableParagraph"/>
              <w:spacing w:line="276" w:lineRule="exact" w:before="4"/>
              <w:ind w:left="3842" w:right="239" w:hanging="2864"/>
              <w:rPr>
                <w:sz w:val="24"/>
              </w:rPr>
            </w:pPr>
            <w:r>
              <w:rPr>
                <w:sz w:val="24"/>
              </w:rPr>
              <w:t>LIST OF “IMPORTERS” WHO HAVE SUBMITTED KYC DOCUMENTS FROM 01.08.2017 TO</w:t>
            </w:r>
            <w:r>
              <w:rPr>
                <w:spacing w:val="65"/>
                <w:sz w:val="24"/>
              </w:rPr>
              <w:t> </w:t>
            </w:r>
            <w:r>
              <w:rPr>
                <w:sz w:val="24"/>
              </w:rPr>
              <w:t>-----------</w:t>
            </w:r>
          </w:p>
        </w:tc>
      </w:tr>
      <w:tr>
        <w:trPr>
          <w:trHeight w:val="547" w:hRule="atLeast"/>
        </w:trPr>
        <w:tc>
          <w:tcPr>
            <w:tcW w:w="1243" w:type="dxa"/>
          </w:tcPr>
          <w:p>
            <w:pPr>
              <w:pStyle w:val="TableParagraph"/>
              <w:spacing w:line="276" w:lineRule="exact"/>
              <w:ind w:left="827" w:right="97" w:firstLine="33"/>
              <w:jc w:val="right"/>
              <w:rPr>
                <w:sz w:val="24"/>
              </w:rPr>
            </w:pPr>
            <w:r>
              <w:rPr>
                <w:sz w:val="24"/>
              </w:rPr>
              <w:t>Sr</w:t>
            </w:r>
            <w:r>
              <w:rPr>
                <w:w w:val="100"/>
                <w:sz w:val="24"/>
              </w:rPr>
              <w:t> </w:t>
            </w:r>
            <w:r>
              <w:rPr>
                <w:w w:val="95"/>
                <w:sz w:val="24"/>
              </w:rPr>
              <w:t>No</w:t>
            </w:r>
          </w:p>
        </w:tc>
        <w:tc>
          <w:tcPr>
            <w:tcW w:w="2619" w:type="dxa"/>
          </w:tcPr>
          <w:p>
            <w:pPr>
              <w:pStyle w:val="TableParagraph"/>
              <w:spacing w:line="272" w:lineRule="exact"/>
              <w:ind w:left="1289"/>
              <w:rPr>
                <w:sz w:val="24"/>
              </w:rPr>
            </w:pPr>
            <w:r>
              <w:rPr>
                <w:sz w:val="24"/>
              </w:rPr>
              <w:t>File No</w:t>
            </w:r>
          </w:p>
        </w:tc>
        <w:tc>
          <w:tcPr>
            <w:tcW w:w="2019" w:type="dxa"/>
          </w:tcPr>
          <w:p>
            <w:pPr>
              <w:pStyle w:val="TableParagraph"/>
              <w:spacing w:line="276" w:lineRule="exact"/>
              <w:ind w:left="921" w:right="168" w:hanging="8"/>
              <w:rPr>
                <w:sz w:val="24"/>
              </w:rPr>
            </w:pPr>
            <w:r>
              <w:rPr>
                <w:sz w:val="24"/>
              </w:rPr>
              <w:t>Name of Importer</w:t>
            </w:r>
          </w:p>
        </w:tc>
        <w:tc>
          <w:tcPr>
            <w:tcW w:w="1957" w:type="dxa"/>
          </w:tcPr>
          <w:p>
            <w:pPr>
              <w:pStyle w:val="TableParagraph"/>
              <w:spacing w:line="272" w:lineRule="exact"/>
              <w:ind w:left="971"/>
              <w:rPr>
                <w:sz w:val="24"/>
              </w:rPr>
            </w:pPr>
            <w:r>
              <w:rPr>
                <w:sz w:val="24"/>
              </w:rPr>
              <w:t>GSTIN</w:t>
            </w:r>
          </w:p>
        </w:tc>
        <w:tc>
          <w:tcPr>
            <w:tcW w:w="1743" w:type="dxa"/>
          </w:tcPr>
          <w:p>
            <w:pPr>
              <w:pStyle w:val="TableParagraph"/>
              <w:spacing w:line="276" w:lineRule="exact"/>
              <w:ind w:left="1048" w:right="284" w:hanging="20"/>
              <w:rPr>
                <w:sz w:val="24"/>
              </w:rPr>
            </w:pPr>
            <w:r>
              <w:rPr>
                <w:sz w:val="24"/>
              </w:rPr>
              <w:t>IEC NO</w:t>
            </w:r>
          </w:p>
        </w:tc>
      </w:tr>
      <w:tr>
        <w:trPr>
          <w:trHeight w:val="547" w:hRule="atLeast"/>
        </w:trPr>
        <w:tc>
          <w:tcPr>
            <w:tcW w:w="1243" w:type="dxa"/>
          </w:tcPr>
          <w:p>
            <w:pPr>
              <w:pStyle w:val="TableParagraph"/>
              <w:rPr>
                <w:rFonts w:ascii="Times New Roman"/>
                <w:sz w:val="24"/>
              </w:rPr>
            </w:pPr>
          </w:p>
        </w:tc>
        <w:tc>
          <w:tcPr>
            <w:tcW w:w="2619" w:type="dxa"/>
          </w:tcPr>
          <w:p>
            <w:pPr>
              <w:pStyle w:val="TableParagraph"/>
              <w:rPr>
                <w:rFonts w:ascii="Times New Roman"/>
                <w:sz w:val="24"/>
              </w:rPr>
            </w:pPr>
          </w:p>
        </w:tc>
        <w:tc>
          <w:tcPr>
            <w:tcW w:w="2019" w:type="dxa"/>
          </w:tcPr>
          <w:p>
            <w:pPr>
              <w:pStyle w:val="TableParagraph"/>
              <w:rPr>
                <w:rFonts w:ascii="Times New Roman"/>
                <w:sz w:val="24"/>
              </w:rPr>
            </w:pPr>
          </w:p>
        </w:tc>
        <w:tc>
          <w:tcPr>
            <w:tcW w:w="1957" w:type="dxa"/>
          </w:tcPr>
          <w:p>
            <w:pPr>
              <w:pStyle w:val="TableParagraph"/>
              <w:rPr>
                <w:rFonts w:ascii="Times New Roman"/>
                <w:sz w:val="24"/>
              </w:rPr>
            </w:pPr>
          </w:p>
        </w:tc>
        <w:tc>
          <w:tcPr>
            <w:tcW w:w="1743" w:type="dxa"/>
          </w:tcPr>
          <w:p>
            <w:pPr>
              <w:pStyle w:val="TableParagraph"/>
              <w:rPr>
                <w:rFonts w:ascii="Times New Roman"/>
                <w:sz w:val="24"/>
              </w:rPr>
            </w:pPr>
          </w:p>
        </w:tc>
      </w:tr>
    </w:tbl>
    <w:p>
      <w:pPr>
        <w:pStyle w:val="BodyText"/>
        <w:rPr>
          <w:rFonts w:ascii="Arial"/>
          <w:sz w:val="20"/>
        </w:rPr>
      </w:pPr>
    </w:p>
    <w:p>
      <w:pPr>
        <w:pStyle w:val="BodyText"/>
        <w:rPr>
          <w:rFonts w:ascii="Arial"/>
          <w:sz w:val="28"/>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43"/>
        <w:gridCol w:w="2616"/>
        <w:gridCol w:w="2021"/>
        <w:gridCol w:w="1956"/>
        <w:gridCol w:w="1742"/>
      </w:tblGrid>
      <w:tr>
        <w:trPr>
          <w:trHeight w:val="551" w:hRule="atLeast"/>
        </w:trPr>
        <w:tc>
          <w:tcPr>
            <w:tcW w:w="9578" w:type="dxa"/>
            <w:gridSpan w:val="5"/>
          </w:tcPr>
          <w:p>
            <w:pPr>
              <w:pStyle w:val="TableParagraph"/>
              <w:spacing w:line="270" w:lineRule="atLeast"/>
              <w:ind w:left="3842" w:right="209" w:hanging="2891"/>
              <w:rPr>
                <w:sz w:val="24"/>
              </w:rPr>
            </w:pPr>
            <w:r>
              <w:rPr>
                <w:sz w:val="24"/>
              </w:rPr>
              <w:t>LIST OF “EXPORTERS” WHO HAVE SUBMITTED KYC DOCUMENTS FROM 01.08.2017 TO</w:t>
            </w:r>
            <w:r>
              <w:rPr>
                <w:spacing w:val="65"/>
                <w:sz w:val="24"/>
              </w:rPr>
              <w:t> </w:t>
            </w:r>
            <w:r>
              <w:rPr>
                <w:sz w:val="24"/>
              </w:rPr>
              <w:t>-----------</w:t>
            </w:r>
          </w:p>
        </w:tc>
      </w:tr>
      <w:tr>
        <w:trPr>
          <w:trHeight w:val="551" w:hRule="atLeast"/>
        </w:trPr>
        <w:tc>
          <w:tcPr>
            <w:tcW w:w="1243" w:type="dxa"/>
          </w:tcPr>
          <w:p>
            <w:pPr>
              <w:pStyle w:val="TableParagraph"/>
              <w:spacing w:line="270" w:lineRule="atLeast"/>
              <w:ind w:left="827" w:right="97" w:firstLine="33"/>
              <w:jc w:val="right"/>
              <w:rPr>
                <w:sz w:val="24"/>
              </w:rPr>
            </w:pPr>
            <w:r>
              <w:rPr>
                <w:sz w:val="24"/>
              </w:rPr>
              <w:t>Sr</w:t>
            </w:r>
            <w:r>
              <w:rPr>
                <w:w w:val="100"/>
                <w:sz w:val="24"/>
              </w:rPr>
              <w:t> </w:t>
            </w:r>
            <w:r>
              <w:rPr>
                <w:w w:val="95"/>
                <w:sz w:val="24"/>
              </w:rPr>
              <w:t>No</w:t>
            </w:r>
          </w:p>
        </w:tc>
        <w:tc>
          <w:tcPr>
            <w:tcW w:w="2616" w:type="dxa"/>
          </w:tcPr>
          <w:p>
            <w:pPr>
              <w:pStyle w:val="TableParagraph"/>
              <w:ind w:left="1286"/>
              <w:rPr>
                <w:sz w:val="24"/>
              </w:rPr>
            </w:pPr>
            <w:r>
              <w:rPr>
                <w:sz w:val="24"/>
              </w:rPr>
              <w:t>File No</w:t>
            </w:r>
          </w:p>
        </w:tc>
        <w:tc>
          <w:tcPr>
            <w:tcW w:w="2021" w:type="dxa"/>
          </w:tcPr>
          <w:p>
            <w:pPr>
              <w:pStyle w:val="TableParagraph"/>
              <w:spacing w:line="270" w:lineRule="atLeast"/>
              <w:ind w:left="914" w:right="169"/>
              <w:rPr>
                <w:sz w:val="24"/>
              </w:rPr>
            </w:pPr>
            <w:r>
              <w:rPr>
                <w:sz w:val="24"/>
              </w:rPr>
              <w:t>Name of Exporter</w:t>
            </w:r>
          </w:p>
        </w:tc>
        <w:tc>
          <w:tcPr>
            <w:tcW w:w="1956" w:type="dxa"/>
          </w:tcPr>
          <w:p>
            <w:pPr>
              <w:pStyle w:val="TableParagraph"/>
              <w:ind w:left="972"/>
              <w:rPr>
                <w:sz w:val="24"/>
              </w:rPr>
            </w:pPr>
            <w:r>
              <w:rPr>
                <w:sz w:val="24"/>
              </w:rPr>
              <w:t>GSTIN</w:t>
            </w:r>
          </w:p>
        </w:tc>
        <w:tc>
          <w:tcPr>
            <w:tcW w:w="1742" w:type="dxa"/>
          </w:tcPr>
          <w:p>
            <w:pPr>
              <w:pStyle w:val="TableParagraph"/>
              <w:spacing w:line="270" w:lineRule="atLeast"/>
              <w:ind w:left="1050" w:right="281" w:hanging="20"/>
              <w:rPr>
                <w:sz w:val="24"/>
              </w:rPr>
            </w:pPr>
            <w:r>
              <w:rPr>
                <w:sz w:val="24"/>
              </w:rPr>
              <w:t>IEC NO</w:t>
            </w:r>
          </w:p>
        </w:tc>
      </w:tr>
      <w:tr>
        <w:trPr>
          <w:trHeight w:val="552" w:hRule="atLeast"/>
        </w:trPr>
        <w:tc>
          <w:tcPr>
            <w:tcW w:w="1243" w:type="dxa"/>
          </w:tcPr>
          <w:p>
            <w:pPr>
              <w:pStyle w:val="TableParagraph"/>
              <w:rPr>
                <w:rFonts w:ascii="Times New Roman"/>
                <w:sz w:val="24"/>
              </w:rPr>
            </w:pPr>
          </w:p>
        </w:tc>
        <w:tc>
          <w:tcPr>
            <w:tcW w:w="2616" w:type="dxa"/>
          </w:tcPr>
          <w:p>
            <w:pPr>
              <w:pStyle w:val="TableParagraph"/>
              <w:rPr>
                <w:rFonts w:ascii="Times New Roman"/>
                <w:sz w:val="24"/>
              </w:rPr>
            </w:pPr>
          </w:p>
        </w:tc>
        <w:tc>
          <w:tcPr>
            <w:tcW w:w="2021" w:type="dxa"/>
          </w:tcPr>
          <w:p>
            <w:pPr>
              <w:pStyle w:val="TableParagraph"/>
              <w:rPr>
                <w:rFonts w:ascii="Times New Roman"/>
                <w:sz w:val="24"/>
              </w:rPr>
            </w:pPr>
          </w:p>
        </w:tc>
        <w:tc>
          <w:tcPr>
            <w:tcW w:w="1956" w:type="dxa"/>
          </w:tcPr>
          <w:p>
            <w:pPr>
              <w:pStyle w:val="TableParagraph"/>
              <w:rPr>
                <w:rFonts w:ascii="Times New Roman"/>
                <w:sz w:val="24"/>
              </w:rPr>
            </w:pPr>
          </w:p>
        </w:tc>
        <w:tc>
          <w:tcPr>
            <w:tcW w:w="1742" w:type="dxa"/>
          </w:tcPr>
          <w:p>
            <w:pPr>
              <w:pStyle w:val="TableParagraph"/>
              <w:rPr>
                <w:rFonts w:ascii="Times New Roman"/>
                <w:sz w:val="24"/>
              </w:rPr>
            </w:pPr>
          </w:p>
        </w:tc>
      </w:tr>
    </w:tbl>
    <w:p>
      <w:pPr>
        <w:spacing w:after="0"/>
        <w:rPr>
          <w:rFonts w:ascii="Times New Roman"/>
          <w:sz w:val="24"/>
        </w:rPr>
        <w:sectPr>
          <w:pgSz w:w="12250" w:h="20170"/>
          <w:pgMar w:header="0" w:footer="1000" w:top="1200" w:bottom="1200" w:left="1220" w:right="1220"/>
        </w:sectPr>
      </w:pPr>
    </w:p>
    <w:p>
      <w:pPr>
        <w:pStyle w:val="ListParagraph"/>
        <w:numPr>
          <w:ilvl w:val="1"/>
          <w:numId w:val="1"/>
        </w:numPr>
        <w:tabs>
          <w:tab w:pos="941" w:val="left" w:leader="none"/>
        </w:tabs>
        <w:spacing w:line="240" w:lineRule="auto" w:before="88" w:after="0"/>
        <w:ind w:left="940" w:right="217" w:hanging="552"/>
        <w:jc w:val="both"/>
        <w:rPr>
          <w:sz w:val="24"/>
        </w:rPr>
      </w:pPr>
      <w:r>
        <w:rPr>
          <w:sz w:val="24"/>
        </w:rPr>
        <w:t>The KYC cell should get, the details submitted by such first time importer / exporter, verified with the help of SIIB (I), SIIB(X) and</w:t>
      </w:r>
      <w:r>
        <w:rPr>
          <w:spacing w:val="-16"/>
          <w:sz w:val="24"/>
        </w:rPr>
        <w:t> </w:t>
      </w:r>
      <w:r>
        <w:rPr>
          <w:sz w:val="24"/>
        </w:rPr>
        <w:t>CIU.</w:t>
      </w:r>
    </w:p>
    <w:p>
      <w:pPr>
        <w:pStyle w:val="BodyText"/>
        <w:spacing w:before="3"/>
      </w:pPr>
    </w:p>
    <w:p>
      <w:pPr>
        <w:pStyle w:val="ListParagraph"/>
        <w:numPr>
          <w:ilvl w:val="1"/>
          <w:numId w:val="1"/>
        </w:numPr>
        <w:tabs>
          <w:tab w:pos="941" w:val="left" w:leader="none"/>
        </w:tabs>
        <w:spacing w:line="240" w:lineRule="auto" w:before="0" w:after="0"/>
        <w:ind w:left="940" w:right="215" w:hanging="600"/>
        <w:jc w:val="both"/>
        <w:rPr>
          <w:rFonts w:ascii="Arial"/>
          <w:sz w:val="24"/>
        </w:rPr>
      </w:pPr>
      <w:r>
        <w:rPr>
          <w:sz w:val="24"/>
        </w:rPr>
        <w:t>ADC / JC incharge of SIIB (I), SIIB(X) and CIU </w:t>
      </w:r>
      <w:r>
        <w:rPr>
          <w:rFonts w:ascii="Arial"/>
          <w:sz w:val="24"/>
        </w:rPr>
        <w:t>shall ensure that physical verification of the address declared in the IEC is completed at the earliest in atleast 10% of the</w:t>
      </w:r>
      <w:r>
        <w:rPr>
          <w:rFonts w:ascii="Arial"/>
          <w:spacing w:val="-7"/>
          <w:sz w:val="24"/>
        </w:rPr>
        <w:t> </w:t>
      </w:r>
      <w:r>
        <w:rPr>
          <w:rFonts w:ascii="Arial"/>
          <w:sz w:val="24"/>
        </w:rPr>
        <w:t>cases.</w:t>
      </w:r>
    </w:p>
    <w:p>
      <w:pPr>
        <w:pStyle w:val="BodyText"/>
        <w:spacing w:before="11"/>
        <w:rPr>
          <w:rFonts w:ascii="Arial"/>
          <w:sz w:val="23"/>
        </w:rPr>
      </w:pPr>
    </w:p>
    <w:p>
      <w:pPr>
        <w:pStyle w:val="ListParagraph"/>
        <w:numPr>
          <w:ilvl w:val="1"/>
          <w:numId w:val="1"/>
        </w:numPr>
        <w:tabs>
          <w:tab w:pos="941" w:val="left" w:leader="none"/>
        </w:tabs>
        <w:spacing w:line="240" w:lineRule="auto" w:before="0" w:after="0"/>
        <w:ind w:left="940" w:right="215" w:hanging="663"/>
        <w:jc w:val="both"/>
        <w:rPr>
          <w:sz w:val="24"/>
        </w:rPr>
      </w:pPr>
      <w:r>
        <w:rPr>
          <w:rFonts w:ascii="Arial"/>
          <w:sz w:val="24"/>
        </w:rPr>
        <w:t>For verification of out station addresses, Customs House Authority nearest  to that address, may be requested to verify the address of the first time importer / exporter.</w:t>
      </w:r>
    </w:p>
    <w:p>
      <w:pPr>
        <w:pStyle w:val="BodyText"/>
        <w:spacing w:before="2"/>
        <w:rPr>
          <w:rFonts w:ascii="Arial"/>
          <w:sz w:val="25"/>
        </w:rPr>
      </w:pPr>
    </w:p>
    <w:p>
      <w:pPr>
        <w:pStyle w:val="ListParagraph"/>
        <w:numPr>
          <w:ilvl w:val="1"/>
          <w:numId w:val="1"/>
        </w:numPr>
        <w:tabs>
          <w:tab w:pos="941" w:val="left" w:leader="none"/>
        </w:tabs>
        <w:spacing w:line="240" w:lineRule="auto" w:before="0" w:after="0"/>
        <w:ind w:left="940" w:right="215" w:hanging="706"/>
        <w:jc w:val="both"/>
        <w:rPr>
          <w:rFonts w:ascii="Arial"/>
          <w:sz w:val="24"/>
        </w:rPr>
      </w:pPr>
      <w:r>
        <w:rPr>
          <w:sz w:val="24"/>
        </w:rPr>
        <w:t>Officer responsible to complete verification of aforesaid KYC documents in SIIB (I), SIIB(X) and CIU </w:t>
      </w:r>
      <w:r>
        <w:rPr>
          <w:rFonts w:ascii="Arial"/>
          <w:sz w:val="24"/>
        </w:rPr>
        <w:t>should also make telephonic call to the concerned Bank Branch as mentioned in the IEC details (obtained from DGFT site) or in the copy of bank statement submitted by importer / exporter </w:t>
      </w:r>
      <w:r>
        <w:rPr>
          <w:rFonts w:ascii="Arial"/>
          <w:spacing w:val="3"/>
          <w:sz w:val="24"/>
        </w:rPr>
        <w:t>to </w:t>
      </w:r>
      <w:r>
        <w:rPr>
          <w:rFonts w:ascii="Arial"/>
          <w:sz w:val="24"/>
        </w:rPr>
        <w:t>verify the genuineness of the Bank account against that</w:t>
      </w:r>
      <w:r>
        <w:rPr>
          <w:rFonts w:ascii="Arial"/>
          <w:spacing w:val="-5"/>
          <w:sz w:val="24"/>
        </w:rPr>
        <w:t> </w:t>
      </w:r>
      <w:r>
        <w:rPr>
          <w:rFonts w:ascii="Arial"/>
          <w:sz w:val="24"/>
        </w:rPr>
        <w:t>IEC.</w:t>
      </w:r>
    </w:p>
    <w:p>
      <w:pPr>
        <w:pStyle w:val="BodyText"/>
        <w:spacing w:before="11"/>
        <w:rPr>
          <w:rFonts w:ascii="Arial"/>
          <w:sz w:val="23"/>
        </w:rPr>
      </w:pPr>
    </w:p>
    <w:p>
      <w:pPr>
        <w:pStyle w:val="ListParagraph"/>
        <w:numPr>
          <w:ilvl w:val="1"/>
          <w:numId w:val="1"/>
        </w:numPr>
        <w:tabs>
          <w:tab w:pos="941" w:val="left" w:leader="none"/>
        </w:tabs>
        <w:spacing w:line="240" w:lineRule="auto" w:before="0" w:after="0"/>
        <w:ind w:left="940" w:right="217" w:hanging="600"/>
        <w:jc w:val="both"/>
        <w:rPr>
          <w:rFonts w:ascii="Arial"/>
          <w:sz w:val="24"/>
        </w:rPr>
      </w:pPr>
      <w:r>
        <w:rPr>
          <w:rFonts w:ascii="Arial"/>
          <w:sz w:val="24"/>
        </w:rPr>
        <w:t>It will be the responsibility of </w:t>
      </w:r>
      <w:r>
        <w:rPr>
          <w:sz w:val="24"/>
        </w:rPr>
        <w:t>SIIB (I), SIIB(X) and CIU </w:t>
      </w:r>
      <w:r>
        <w:rPr>
          <w:rFonts w:ascii="Arial"/>
          <w:sz w:val="24"/>
        </w:rPr>
        <w:t>to complete the verification process within a reasonable time limit and inform the results to KYC Cell on monthly</w:t>
      </w:r>
      <w:r>
        <w:rPr>
          <w:rFonts w:ascii="Arial"/>
          <w:spacing w:val="-3"/>
          <w:sz w:val="24"/>
        </w:rPr>
        <w:t> </w:t>
      </w:r>
      <w:r>
        <w:rPr>
          <w:rFonts w:ascii="Arial"/>
          <w:sz w:val="24"/>
        </w:rPr>
        <w:t>basis.</w:t>
      </w:r>
    </w:p>
    <w:p>
      <w:pPr>
        <w:pStyle w:val="BodyText"/>
        <w:rPr>
          <w:rFonts w:ascii="Arial"/>
        </w:rPr>
      </w:pPr>
    </w:p>
    <w:p>
      <w:pPr>
        <w:pStyle w:val="ListParagraph"/>
        <w:numPr>
          <w:ilvl w:val="1"/>
          <w:numId w:val="1"/>
        </w:numPr>
        <w:tabs>
          <w:tab w:pos="941" w:val="left" w:leader="none"/>
        </w:tabs>
        <w:spacing w:line="240" w:lineRule="auto" w:before="0" w:after="0"/>
        <w:ind w:left="940" w:right="214" w:hanging="548"/>
        <w:jc w:val="both"/>
        <w:rPr>
          <w:rFonts w:ascii="Arial"/>
          <w:sz w:val="24"/>
        </w:rPr>
      </w:pPr>
      <w:r>
        <w:rPr>
          <w:rFonts w:ascii="Arial"/>
          <w:sz w:val="24"/>
        </w:rPr>
        <w:t>KYC Cell should maintain details of such first time importers / exporters in a register, including details of verification results received from </w:t>
      </w:r>
      <w:r>
        <w:rPr>
          <w:sz w:val="24"/>
        </w:rPr>
        <w:t>SIIB (I), SIIB(X) and CIU. This register </w:t>
      </w:r>
      <w:r>
        <w:rPr>
          <w:rFonts w:ascii="Arial"/>
          <w:sz w:val="24"/>
        </w:rPr>
        <w:t>should be put up before jurisdictional ADC /JC, NS-III on monthly basis. In case of any adverse report indicating mis-declaration, matter should be immediately reported to ADC/JC SIIB(I) to initiate preventive measures including putting an suitable alert against such IEC in ICES. Further, a suitable remark should be inserted in the database hosted on JNCH website against such importer /</w:t>
      </w:r>
      <w:r>
        <w:rPr>
          <w:rFonts w:ascii="Arial"/>
          <w:spacing w:val="-1"/>
          <w:sz w:val="24"/>
        </w:rPr>
        <w:t> </w:t>
      </w:r>
      <w:r>
        <w:rPr>
          <w:rFonts w:ascii="Arial"/>
          <w:sz w:val="24"/>
        </w:rPr>
        <w:t>exporter.</w:t>
      </w:r>
    </w:p>
    <w:p>
      <w:pPr>
        <w:pStyle w:val="BodyText"/>
        <w:spacing w:before="2"/>
        <w:rPr>
          <w:rFonts w:ascii="Arial"/>
        </w:rPr>
      </w:pPr>
    </w:p>
    <w:p>
      <w:pPr>
        <w:pStyle w:val="ListParagraph"/>
        <w:numPr>
          <w:ilvl w:val="0"/>
          <w:numId w:val="1"/>
        </w:numPr>
        <w:tabs>
          <w:tab w:pos="941" w:val="left" w:leader="none"/>
        </w:tabs>
        <w:spacing w:line="240" w:lineRule="auto" w:before="0" w:after="0"/>
        <w:ind w:left="220" w:right="227" w:firstLine="0"/>
        <w:jc w:val="both"/>
        <w:rPr>
          <w:rFonts w:ascii="Arial"/>
          <w:sz w:val="24"/>
        </w:rPr>
      </w:pPr>
      <w:r>
        <w:rPr>
          <w:rFonts w:ascii="Arial"/>
          <w:sz w:val="24"/>
        </w:rPr>
        <w:t>The earlier Public Notices issued in this regard as mentioned above stands amended to the above extent. This Public Notice will be effective from</w:t>
      </w:r>
      <w:r>
        <w:rPr>
          <w:rFonts w:ascii="Arial"/>
          <w:spacing w:val="-19"/>
          <w:sz w:val="24"/>
        </w:rPr>
        <w:t> </w:t>
      </w:r>
      <w:r>
        <w:rPr>
          <w:rFonts w:ascii="Arial"/>
          <w:sz w:val="24"/>
        </w:rPr>
        <w:t>01.08.2017.</w:t>
      </w:r>
    </w:p>
    <w:p>
      <w:pPr>
        <w:pStyle w:val="BodyText"/>
        <w:spacing w:before="9"/>
        <w:rPr>
          <w:rFonts w:ascii="Arial"/>
          <w:sz w:val="23"/>
        </w:rPr>
      </w:pPr>
    </w:p>
    <w:p>
      <w:pPr>
        <w:pStyle w:val="ListParagraph"/>
        <w:numPr>
          <w:ilvl w:val="0"/>
          <w:numId w:val="1"/>
        </w:numPr>
        <w:tabs>
          <w:tab w:pos="941" w:val="left" w:leader="none"/>
        </w:tabs>
        <w:spacing w:line="240" w:lineRule="auto" w:before="0" w:after="0"/>
        <w:ind w:left="220" w:right="211" w:firstLine="0"/>
        <w:jc w:val="both"/>
        <w:rPr>
          <w:rFonts w:ascii="Arial"/>
          <w:sz w:val="24"/>
        </w:rPr>
      </w:pPr>
      <w:r>
        <w:rPr>
          <w:rFonts w:ascii="Arial"/>
          <w:sz w:val="24"/>
        </w:rPr>
        <w:t>Difficulty, if any, may be brought to the notice of Deputy /  Assistant Commissioner in charge of Appraising Main (Import) through email (email address: </w:t>
      </w:r>
      <w:r>
        <w:rPr>
          <w:sz w:val="26"/>
        </w:rPr>
        <w:t>appraisingmain.jnch@gov.in</w:t>
      </w:r>
      <w:r>
        <w:rPr>
          <w:rFonts w:ascii="Arial"/>
          <w:sz w:val="24"/>
        </w:rPr>
        <w:t>). </w:t>
      </w:r>
      <w:r>
        <w:rPr>
          <w:sz w:val="26"/>
        </w:rPr>
        <w:t>Action to be taken in terms of decisions taken in this Public Notice should be considered as standing order for the purpose of officers and</w:t>
      </w:r>
      <w:r>
        <w:rPr>
          <w:spacing w:val="-1"/>
          <w:sz w:val="26"/>
        </w:rPr>
        <w:t> </w:t>
      </w:r>
      <w:r>
        <w:rPr>
          <w:sz w:val="26"/>
        </w:rPr>
        <w:t>staff.</w:t>
      </w:r>
    </w:p>
    <w:p>
      <w:pPr>
        <w:pStyle w:val="BodyText"/>
        <w:rPr>
          <w:sz w:val="20"/>
        </w:rPr>
      </w:pPr>
    </w:p>
    <w:p>
      <w:pPr>
        <w:pStyle w:val="BodyText"/>
        <w:spacing w:before="9"/>
        <w:rPr>
          <w:sz w:val="19"/>
        </w:rPr>
      </w:pPr>
    </w:p>
    <w:p>
      <w:pPr>
        <w:spacing w:after="0"/>
        <w:rPr>
          <w:sz w:val="19"/>
        </w:rPr>
        <w:sectPr>
          <w:pgSz w:w="12250" w:h="20170"/>
          <w:pgMar w:header="0" w:footer="1000" w:top="900" w:bottom="1200" w:left="1220" w:right="1220"/>
        </w:sectPr>
      </w:pPr>
    </w:p>
    <w:p>
      <w:pPr>
        <w:pStyle w:val="BodyText"/>
        <w:rPr>
          <w:sz w:val="28"/>
        </w:rPr>
      </w:pPr>
    </w:p>
    <w:p>
      <w:pPr>
        <w:pStyle w:val="BodyText"/>
        <w:rPr>
          <w:sz w:val="28"/>
        </w:rPr>
      </w:pPr>
    </w:p>
    <w:p>
      <w:pPr>
        <w:pStyle w:val="BodyText"/>
        <w:spacing w:before="3"/>
      </w:pPr>
    </w:p>
    <w:p>
      <w:pPr>
        <w:pStyle w:val="BodyText"/>
        <w:ind w:left="220"/>
      </w:pPr>
      <w:r>
        <w:rPr/>
        <w:t>Copy To:-</w:t>
      </w:r>
    </w:p>
    <w:p>
      <w:pPr>
        <w:pStyle w:val="BodyText"/>
        <w:spacing w:before="100"/>
        <w:ind w:left="2066" w:right="2339"/>
        <w:jc w:val="center"/>
      </w:pPr>
      <w:r>
        <w:rPr/>
        <w:br w:type="column"/>
      </w:r>
      <w:r>
        <w:rPr/>
        <w:t>Sd/-</w:t>
      </w:r>
    </w:p>
    <w:p>
      <w:pPr>
        <w:pStyle w:val="Heading2"/>
        <w:spacing w:line="289" w:lineRule="exact" w:before="1"/>
        <w:ind w:left="1185"/>
      </w:pPr>
      <w:r>
        <w:rPr/>
        <w:t>(SUBHASH AGRAWAL)</w:t>
      </w:r>
    </w:p>
    <w:p>
      <w:pPr>
        <w:pStyle w:val="BodyText"/>
        <w:spacing w:line="289" w:lineRule="exact"/>
        <w:ind w:left="220"/>
      </w:pPr>
      <w:r>
        <w:rPr/>
        <w:t>Commissioner of Customs, NS (III), JNCH</w:t>
      </w:r>
    </w:p>
    <w:p>
      <w:pPr>
        <w:spacing w:after="0" w:line="289" w:lineRule="exact"/>
        <w:sectPr>
          <w:type w:val="continuous"/>
          <w:pgSz w:w="12250" w:h="20170"/>
          <w:pgMar w:top="900" w:bottom="1200" w:left="1220" w:right="1220"/>
          <w:cols w:num="2" w:equalWidth="0">
            <w:col w:w="1303" w:space="3615"/>
            <w:col w:w="4892"/>
          </w:cols>
        </w:sectPr>
      </w:pPr>
    </w:p>
    <w:p>
      <w:pPr>
        <w:pStyle w:val="BodyText"/>
        <w:spacing w:before="10"/>
        <w:rPr>
          <w:sz w:val="15"/>
        </w:rPr>
      </w:pPr>
    </w:p>
    <w:p>
      <w:pPr>
        <w:pStyle w:val="ListParagraph"/>
        <w:numPr>
          <w:ilvl w:val="0"/>
          <w:numId w:val="5"/>
        </w:numPr>
        <w:tabs>
          <w:tab w:pos="941" w:val="left" w:leader="none"/>
        </w:tabs>
        <w:spacing w:line="240" w:lineRule="auto" w:before="100" w:after="0"/>
        <w:ind w:left="940" w:right="0" w:hanging="361"/>
        <w:jc w:val="left"/>
        <w:rPr>
          <w:sz w:val="24"/>
        </w:rPr>
      </w:pPr>
      <w:r>
        <w:rPr>
          <w:sz w:val="24"/>
        </w:rPr>
        <w:t>The Chief Commissioner of Customs, Mumbai Zone-II, JNCH for</w:t>
      </w:r>
      <w:r>
        <w:rPr>
          <w:spacing w:val="-14"/>
          <w:sz w:val="24"/>
        </w:rPr>
        <w:t> </w:t>
      </w:r>
      <w:r>
        <w:rPr>
          <w:sz w:val="24"/>
        </w:rPr>
        <w:t>information.</w:t>
      </w:r>
    </w:p>
    <w:p>
      <w:pPr>
        <w:pStyle w:val="ListParagraph"/>
        <w:numPr>
          <w:ilvl w:val="0"/>
          <w:numId w:val="5"/>
        </w:numPr>
        <w:tabs>
          <w:tab w:pos="941" w:val="left" w:leader="none"/>
        </w:tabs>
        <w:spacing w:line="240" w:lineRule="auto" w:before="43" w:after="0"/>
        <w:ind w:left="940" w:right="0" w:hanging="361"/>
        <w:jc w:val="left"/>
        <w:rPr>
          <w:sz w:val="24"/>
        </w:rPr>
      </w:pPr>
      <w:r>
        <w:rPr>
          <w:sz w:val="24"/>
        </w:rPr>
        <w:t>The Commissioner of Customs, NS-G/ NS-I/ NS-II / NS-III/ NS-IV / NS-V,</w:t>
      </w:r>
      <w:r>
        <w:rPr>
          <w:spacing w:val="-18"/>
          <w:sz w:val="24"/>
        </w:rPr>
        <w:t> </w:t>
      </w:r>
      <w:r>
        <w:rPr>
          <w:sz w:val="24"/>
        </w:rPr>
        <w:t>JNCH</w:t>
      </w:r>
    </w:p>
    <w:p>
      <w:pPr>
        <w:pStyle w:val="ListParagraph"/>
        <w:numPr>
          <w:ilvl w:val="0"/>
          <w:numId w:val="5"/>
        </w:numPr>
        <w:tabs>
          <w:tab w:pos="941" w:val="left" w:leader="none"/>
        </w:tabs>
        <w:spacing w:line="240" w:lineRule="auto" w:before="43" w:after="0"/>
        <w:ind w:left="940" w:right="0" w:hanging="361"/>
        <w:jc w:val="left"/>
        <w:rPr>
          <w:sz w:val="24"/>
        </w:rPr>
      </w:pPr>
      <w:r>
        <w:rPr>
          <w:sz w:val="24"/>
        </w:rPr>
        <w:t>All Additional / Joint Commissioner of Customs,</w:t>
      </w:r>
      <w:r>
        <w:rPr>
          <w:spacing w:val="-6"/>
          <w:sz w:val="24"/>
        </w:rPr>
        <w:t> </w:t>
      </w:r>
      <w:r>
        <w:rPr>
          <w:sz w:val="24"/>
        </w:rPr>
        <w:t>JNCH</w:t>
      </w:r>
    </w:p>
    <w:p>
      <w:pPr>
        <w:pStyle w:val="ListParagraph"/>
        <w:numPr>
          <w:ilvl w:val="0"/>
          <w:numId w:val="5"/>
        </w:numPr>
        <w:tabs>
          <w:tab w:pos="941" w:val="left" w:leader="none"/>
        </w:tabs>
        <w:spacing w:line="240" w:lineRule="auto" w:before="44" w:after="0"/>
        <w:ind w:left="940" w:right="0" w:hanging="361"/>
        <w:jc w:val="left"/>
        <w:rPr>
          <w:sz w:val="24"/>
        </w:rPr>
      </w:pPr>
      <w:r>
        <w:rPr>
          <w:sz w:val="24"/>
        </w:rPr>
        <w:t>All Deputy / Assistant Commissioner of Customs,</w:t>
      </w:r>
      <w:r>
        <w:rPr>
          <w:spacing w:val="-6"/>
          <w:sz w:val="24"/>
        </w:rPr>
        <w:t> </w:t>
      </w:r>
      <w:r>
        <w:rPr>
          <w:sz w:val="24"/>
        </w:rPr>
        <w:t>JNCH</w:t>
      </w:r>
    </w:p>
    <w:p>
      <w:pPr>
        <w:pStyle w:val="ListParagraph"/>
        <w:numPr>
          <w:ilvl w:val="0"/>
          <w:numId w:val="5"/>
        </w:numPr>
        <w:tabs>
          <w:tab w:pos="941" w:val="left" w:leader="none"/>
        </w:tabs>
        <w:spacing w:line="240" w:lineRule="auto" w:before="44" w:after="0"/>
        <w:ind w:left="940" w:right="0" w:hanging="361"/>
        <w:jc w:val="left"/>
        <w:rPr>
          <w:sz w:val="24"/>
        </w:rPr>
      </w:pPr>
      <w:r>
        <w:rPr>
          <w:sz w:val="24"/>
        </w:rPr>
        <w:t>All Sections / Groups of NS-G, NS-I, NS-II / NS-III/ NS-IV / NS-V,</w:t>
      </w:r>
      <w:r>
        <w:rPr>
          <w:spacing w:val="-23"/>
          <w:sz w:val="24"/>
        </w:rPr>
        <w:t> </w:t>
      </w:r>
      <w:r>
        <w:rPr>
          <w:sz w:val="24"/>
        </w:rPr>
        <w:t>JNCH</w:t>
      </w:r>
    </w:p>
    <w:p>
      <w:pPr>
        <w:pStyle w:val="ListParagraph"/>
        <w:numPr>
          <w:ilvl w:val="0"/>
          <w:numId w:val="5"/>
        </w:numPr>
        <w:tabs>
          <w:tab w:pos="941" w:val="left" w:leader="none"/>
        </w:tabs>
        <w:spacing w:line="240" w:lineRule="auto" w:before="44" w:after="0"/>
        <w:ind w:left="940" w:right="0" w:hanging="361"/>
        <w:jc w:val="left"/>
        <w:rPr>
          <w:sz w:val="24"/>
        </w:rPr>
      </w:pPr>
      <w:r>
        <w:rPr>
          <w:sz w:val="24"/>
        </w:rPr>
        <w:t>AC/DC, EDI for uploading on JNCH website</w:t>
      </w:r>
      <w:r>
        <w:rPr>
          <w:spacing w:val="-6"/>
          <w:sz w:val="24"/>
        </w:rPr>
        <w:t> </w:t>
      </w:r>
      <w:r>
        <w:rPr>
          <w:sz w:val="24"/>
        </w:rPr>
        <w:t>immediately.</w:t>
      </w:r>
    </w:p>
    <w:p>
      <w:pPr>
        <w:pStyle w:val="ListParagraph"/>
        <w:numPr>
          <w:ilvl w:val="0"/>
          <w:numId w:val="5"/>
        </w:numPr>
        <w:tabs>
          <w:tab w:pos="941" w:val="left" w:leader="none"/>
        </w:tabs>
        <w:spacing w:line="273" w:lineRule="auto" w:before="44" w:after="0"/>
        <w:ind w:left="940" w:right="218" w:hanging="360"/>
        <w:jc w:val="left"/>
        <w:rPr>
          <w:sz w:val="24"/>
        </w:rPr>
      </w:pPr>
      <w:r>
        <w:rPr>
          <w:sz w:val="24"/>
        </w:rPr>
        <w:t>Representative of BCBA / FIEO / AIEA for information and circulation among  their members for</w:t>
      </w:r>
      <w:r>
        <w:rPr>
          <w:spacing w:val="-1"/>
          <w:sz w:val="24"/>
        </w:rPr>
        <w:t> </w:t>
      </w:r>
      <w:r>
        <w:rPr>
          <w:sz w:val="24"/>
        </w:rPr>
        <w:t>information</w:t>
      </w:r>
    </w:p>
    <w:sectPr>
      <w:type w:val="continuous"/>
      <w:pgSz w:w="12250" w:h="20170"/>
      <w:pgMar w:top="900" w:bottom="1200" w:left="122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Tahoma">
    <w:altName w:val="Tahom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32.700012pt;margin-top:947.119995pt;width:9.6pt;height:13.05pt;mso-position-horizontal-relative:page;mso-position-vertical-relative:page;z-index:-251884544" type="#_x0000_t202" filled="false" stroked="false">
          <v:textbox inset="0,0,0,0">
            <w:txbxContent>
              <w:p>
                <w:pPr>
                  <w:spacing w:line="245" w:lineRule="exact" w:before="0"/>
                  <w:ind w:left="40" w:right="0" w:firstLine="0"/>
                  <w:jc w:val="left"/>
                  <w:rPr>
                    <w:rFonts w:ascii="Calibri"/>
                    <w:sz w:val="22"/>
                  </w:rPr>
                </w:pPr>
                <w:r>
                  <w:rPr/>
                  <w:fldChar w:fldCharType="begin"/>
                </w:r>
                <w:r>
                  <w:rPr>
                    <w:rFonts w:ascii="Calibri"/>
                    <w:w w:val="100"/>
                    <w:sz w:val="22"/>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940" w:hanging="360"/>
        <w:jc w:val="left"/>
      </w:pPr>
      <w:rPr>
        <w:rFonts w:hint="default" w:ascii="Tahoma" w:hAnsi="Tahoma" w:eastAsia="Tahoma" w:cs="Tahoma"/>
        <w:spacing w:val="-3"/>
        <w:w w:val="100"/>
        <w:sz w:val="24"/>
        <w:szCs w:val="24"/>
        <w:lang w:val="en-US" w:eastAsia="en-US" w:bidi="en-US"/>
      </w:rPr>
    </w:lvl>
    <w:lvl w:ilvl="1">
      <w:start w:val="0"/>
      <w:numFmt w:val="bullet"/>
      <w:lvlText w:val="•"/>
      <w:lvlJc w:val="left"/>
      <w:pPr>
        <w:ind w:left="1826" w:hanging="360"/>
      </w:pPr>
      <w:rPr>
        <w:rFonts w:hint="default"/>
        <w:lang w:val="en-US" w:eastAsia="en-US" w:bidi="en-US"/>
      </w:rPr>
    </w:lvl>
    <w:lvl w:ilvl="2">
      <w:start w:val="0"/>
      <w:numFmt w:val="bullet"/>
      <w:lvlText w:val="•"/>
      <w:lvlJc w:val="left"/>
      <w:pPr>
        <w:ind w:left="2712" w:hanging="360"/>
      </w:pPr>
      <w:rPr>
        <w:rFonts w:hint="default"/>
        <w:lang w:val="en-US" w:eastAsia="en-US" w:bidi="en-US"/>
      </w:rPr>
    </w:lvl>
    <w:lvl w:ilvl="3">
      <w:start w:val="0"/>
      <w:numFmt w:val="bullet"/>
      <w:lvlText w:val="•"/>
      <w:lvlJc w:val="left"/>
      <w:pPr>
        <w:ind w:left="3598" w:hanging="360"/>
      </w:pPr>
      <w:rPr>
        <w:rFonts w:hint="default"/>
        <w:lang w:val="en-US" w:eastAsia="en-US" w:bidi="en-US"/>
      </w:rPr>
    </w:lvl>
    <w:lvl w:ilvl="4">
      <w:start w:val="0"/>
      <w:numFmt w:val="bullet"/>
      <w:lvlText w:val="•"/>
      <w:lvlJc w:val="left"/>
      <w:pPr>
        <w:ind w:left="4484" w:hanging="360"/>
      </w:pPr>
      <w:rPr>
        <w:rFonts w:hint="default"/>
        <w:lang w:val="en-US" w:eastAsia="en-US" w:bidi="en-US"/>
      </w:rPr>
    </w:lvl>
    <w:lvl w:ilvl="5">
      <w:start w:val="0"/>
      <w:numFmt w:val="bullet"/>
      <w:lvlText w:val="•"/>
      <w:lvlJc w:val="left"/>
      <w:pPr>
        <w:ind w:left="5371" w:hanging="360"/>
      </w:pPr>
      <w:rPr>
        <w:rFonts w:hint="default"/>
        <w:lang w:val="en-US" w:eastAsia="en-US" w:bidi="en-US"/>
      </w:rPr>
    </w:lvl>
    <w:lvl w:ilvl="6">
      <w:start w:val="0"/>
      <w:numFmt w:val="bullet"/>
      <w:lvlText w:val="•"/>
      <w:lvlJc w:val="left"/>
      <w:pPr>
        <w:ind w:left="6257" w:hanging="360"/>
      </w:pPr>
      <w:rPr>
        <w:rFonts w:hint="default"/>
        <w:lang w:val="en-US" w:eastAsia="en-US" w:bidi="en-US"/>
      </w:rPr>
    </w:lvl>
    <w:lvl w:ilvl="7">
      <w:start w:val="0"/>
      <w:numFmt w:val="bullet"/>
      <w:lvlText w:val="•"/>
      <w:lvlJc w:val="left"/>
      <w:pPr>
        <w:ind w:left="7143" w:hanging="360"/>
      </w:pPr>
      <w:rPr>
        <w:rFonts w:hint="default"/>
        <w:lang w:val="en-US" w:eastAsia="en-US" w:bidi="en-US"/>
      </w:rPr>
    </w:lvl>
    <w:lvl w:ilvl="8">
      <w:start w:val="0"/>
      <w:numFmt w:val="bullet"/>
      <w:lvlText w:val="•"/>
      <w:lvlJc w:val="left"/>
      <w:pPr>
        <w:ind w:left="8029" w:hanging="360"/>
      </w:pPr>
      <w:rPr>
        <w:rFonts w:hint="default"/>
        <w:lang w:val="en-US" w:eastAsia="en-US" w:bidi="en-US"/>
      </w:rPr>
    </w:lvl>
  </w:abstractNum>
  <w:abstractNum w:abstractNumId="3">
    <w:multiLevelType w:val="hybridMultilevel"/>
    <w:lvl w:ilvl="0">
      <w:start w:val="14"/>
      <w:numFmt w:val="lowerLetter"/>
      <w:lvlText w:val="(%1)"/>
      <w:lvlJc w:val="left"/>
      <w:pPr>
        <w:ind w:left="940" w:hanging="459"/>
        <w:jc w:val="left"/>
      </w:pPr>
      <w:rPr>
        <w:rFonts w:hint="default" w:ascii="Tahoma" w:hAnsi="Tahoma" w:eastAsia="Tahoma" w:cs="Tahoma"/>
        <w:i/>
        <w:w w:val="96"/>
        <w:sz w:val="25"/>
        <w:szCs w:val="25"/>
        <w:lang w:val="en-US" w:eastAsia="en-US" w:bidi="en-US"/>
      </w:rPr>
    </w:lvl>
    <w:lvl w:ilvl="1">
      <w:start w:val="0"/>
      <w:numFmt w:val="bullet"/>
      <w:lvlText w:val="•"/>
      <w:lvlJc w:val="left"/>
      <w:pPr>
        <w:ind w:left="1826" w:hanging="459"/>
      </w:pPr>
      <w:rPr>
        <w:rFonts w:hint="default"/>
        <w:lang w:val="en-US" w:eastAsia="en-US" w:bidi="en-US"/>
      </w:rPr>
    </w:lvl>
    <w:lvl w:ilvl="2">
      <w:start w:val="0"/>
      <w:numFmt w:val="bullet"/>
      <w:lvlText w:val="•"/>
      <w:lvlJc w:val="left"/>
      <w:pPr>
        <w:ind w:left="2712" w:hanging="459"/>
      </w:pPr>
      <w:rPr>
        <w:rFonts w:hint="default"/>
        <w:lang w:val="en-US" w:eastAsia="en-US" w:bidi="en-US"/>
      </w:rPr>
    </w:lvl>
    <w:lvl w:ilvl="3">
      <w:start w:val="0"/>
      <w:numFmt w:val="bullet"/>
      <w:lvlText w:val="•"/>
      <w:lvlJc w:val="left"/>
      <w:pPr>
        <w:ind w:left="3598" w:hanging="459"/>
      </w:pPr>
      <w:rPr>
        <w:rFonts w:hint="default"/>
        <w:lang w:val="en-US" w:eastAsia="en-US" w:bidi="en-US"/>
      </w:rPr>
    </w:lvl>
    <w:lvl w:ilvl="4">
      <w:start w:val="0"/>
      <w:numFmt w:val="bullet"/>
      <w:lvlText w:val="•"/>
      <w:lvlJc w:val="left"/>
      <w:pPr>
        <w:ind w:left="4484" w:hanging="459"/>
      </w:pPr>
      <w:rPr>
        <w:rFonts w:hint="default"/>
        <w:lang w:val="en-US" w:eastAsia="en-US" w:bidi="en-US"/>
      </w:rPr>
    </w:lvl>
    <w:lvl w:ilvl="5">
      <w:start w:val="0"/>
      <w:numFmt w:val="bullet"/>
      <w:lvlText w:val="•"/>
      <w:lvlJc w:val="left"/>
      <w:pPr>
        <w:ind w:left="5371" w:hanging="459"/>
      </w:pPr>
      <w:rPr>
        <w:rFonts w:hint="default"/>
        <w:lang w:val="en-US" w:eastAsia="en-US" w:bidi="en-US"/>
      </w:rPr>
    </w:lvl>
    <w:lvl w:ilvl="6">
      <w:start w:val="0"/>
      <w:numFmt w:val="bullet"/>
      <w:lvlText w:val="•"/>
      <w:lvlJc w:val="left"/>
      <w:pPr>
        <w:ind w:left="6257" w:hanging="459"/>
      </w:pPr>
      <w:rPr>
        <w:rFonts w:hint="default"/>
        <w:lang w:val="en-US" w:eastAsia="en-US" w:bidi="en-US"/>
      </w:rPr>
    </w:lvl>
    <w:lvl w:ilvl="7">
      <w:start w:val="0"/>
      <w:numFmt w:val="bullet"/>
      <w:lvlText w:val="•"/>
      <w:lvlJc w:val="left"/>
      <w:pPr>
        <w:ind w:left="7143" w:hanging="459"/>
      </w:pPr>
      <w:rPr>
        <w:rFonts w:hint="default"/>
        <w:lang w:val="en-US" w:eastAsia="en-US" w:bidi="en-US"/>
      </w:rPr>
    </w:lvl>
    <w:lvl w:ilvl="8">
      <w:start w:val="0"/>
      <w:numFmt w:val="bullet"/>
      <w:lvlText w:val="•"/>
      <w:lvlJc w:val="left"/>
      <w:pPr>
        <w:ind w:left="8029" w:hanging="459"/>
      </w:pPr>
      <w:rPr>
        <w:rFonts w:hint="default"/>
        <w:lang w:val="en-US" w:eastAsia="en-US" w:bidi="en-US"/>
      </w:rPr>
    </w:lvl>
  </w:abstractNum>
  <w:abstractNum w:abstractNumId="2">
    <w:multiLevelType w:val="hybridMultilevel"/>
    <w:lvl w:ilvl="0">
      <w:start w:val="1"/>
      <w:numFmt w:val="lowerRoman"/>
      <w:lvlText w:val="(%1)"/>
      <w:lvlJc w:val="left"/>
      <w:pPr>
        <w:ind w:left="1300" w:hanging="720"/>
        <w:jc w:val="left"/>
      </w:pPr>
      <w:rPr>
        <w:rFonts w:hint="default" w:ascii="Tahoma" w:hAnsi="Tahoma" w:eastAsia="Tahoma" w:cs="Tahoma"/>
        <w:spacing w:val="-3"/>
        <w:w w:val="100"/>
        <w:sz w:val="24"/>
        <w:szCs w:val="24"/>
        <w:lang w:val="en-US" w:eastAsia="en-US" w:bidi="en-US"/>
      </w:rPr>
    </w:lvl>
    <w:lvl w:ilvl="1">
      <w:start w:val="0"/>
      <w:numFmt w:val="bullet"/>
      <w:lvlText w:val="•"/>
      <w:lvlJc w:val="left"/>
      <w:pPr>
        <w:ind w:left="2150" w:hanging="720"/>
      </w:pPr>
      <w:rPr>
        <w:rFonts w:hint="default"/>
        <w:lang w:val="en-US" w:eastAsia="en-US" w:bidi="en-US"/>
      </w:rPr>
    </w:lvl>
    <w:lvl w:ilvl="2">
      <w:start w:val="0"/>
      <w:numFmt w:val="bullet"/>
      <w:lvlText w:val="•"/>
      <w:lvlJc w:val="left"/>
      <w:pPr>
        <w:ind w:left="3000" w:hanging="720"/>
      </w:pPr>
      <w:rPr>
        <w:rFonts w:hint="default"/>
        <w:lang w:val="en-US" w:eastAsia="en-US" w:bidi="en-US"/>
      </w:rPr>
    </w:lvl>
    <w:lvl w:ilvl="3">
      <w:start w:val="0"/>
      <w:numFmt w:val="bullet"/>
      <w:lvlText w:val="•"/>
      <w:lvlJc w:val="left"/>
      <w:pPr>
        <w:ind w:left="3850" w:hanging="720"/>
      </w:pPr>
      <w:rPr>
        <w:rFonts w:hint="default"/>
        <w:lang w:val="en-US" w:eastAsia="en-US" w:bidi="en-US"/>
      </w:rPr>
    </w:lvl>
    <w:lvl w:ilvl="4">
      <w:start w:val="0"/>
      <w:numFmt w:val="bullet"/>
      <w:lvlText w:val="•"/>
      <w:lvlJc w:val="left"/>
      <w:pPr>
        <w:ind w:left="4700" w:hanging="720"/>
      </w:pPr>
      <w:rPr>
        <w:rFonts w:hint="default"/>
        <w:lang w:val="en-US" w:eastAsia="en-US" w:bidi="en-US"/>
      </w:rPr>
    </w:lvl>
    <w:lvl w:ilvl="5">
      <w:start w:val="0"/>
      <w:numFmt w:val="bullet"/>
      <w:lvlText w:val="•"/>
      <w:lvlJc w:val="left"/>
      <w:pPr>
        <w:ind w:left="5551" w:hanging="720"/>
      </w:pPr>
      <w:rPr>
        <w:rFonts w:hint="default"/>
        <w:lang w:val="en-US" w:eastAsia="en-US" w:bidi="en-US"/>
      </w:rPr>
    </w:lvl>
    <w:lvl w:ilvl="6">
      <w:start w:val="0"/>
      <w:numFmt w:val="bullet"/>
      <w:lvlText w:val="•"/>
      <w:lvlJc w:val="left"/>
      <w:pPr>
        <w:ind w:left="6401" w:hanging="720"/>
      </w:pPr>
      <w:rPr>
        <w:rFonts w:hint="default"/>
        <w:lang w:val="en-US" w:eastAsia="en-US" w:bidi="en-US"/>
      </w:rPr>
    </w:lvl>
    <w:lvl w:ilvl="7">
      <w:start w:val="0"/>
      <w:numFmt w:val="bullet"/>
      <w:lvlText w:val="•"/>
      <w:lvlJc w:val="left"/>
      <w:pPr>
        <w:ind w:left="7251" w:hanging="720"/>
      </w:pPr>
      <w:rPr>
        <w:rFonts w:hint="default"/>
        <w:lang w:val="en-US" w:eastAsia="en-US" w:bidi="en-US"/>
      </w:rPr>
    </w:lvl>
    <w:lvl w:ilvl="8">
      <w:start w:val="0"/>
      <w:numFmt w:val="bullet"/>
      <w:lvlText w:val="•"/>
      <w:lvlJc w:val="left"/>
      <w:pPr>
        <w:ind w:left="8101" w:hanging="720"/>
      </w:pPr>
      <w:rPr>
        <w:rFonts w:hint="default"/>
        <w:lang w:val="en-US" w:eastAsia="en-US" w:bidi="en-US"/>
      </w:rPr>
    </w:lvl>
  </w:abstractNum>
  <w:abstractNum w:abstractNumId="1">
    <w:multiLevelType w:val="hybridMultilevel"/>
    <w:lvl w:ilvl="0">
      <w:start w:val="1"/>
      <w:numFmt w:val="lowerRoman"/>
      <w:lvlText w:val="(%1)"/>
      <w:lvlJc w:val="left"/>
      <w:pPr>
        <w:ind w:left="1300" w:hanging="720"/>
        <w:jc w:val="left"/>
      </w:pPr>
      <w:rPr>
        <w:rFonts w:hint="default" w:ascii="Tahoma" w:hAnsi="Tahoma" w:eastAsia="Tahoma" w:cs="Tahoma"/>
        <w:spacing w:val="-2"/>
        <w:w w:val="100"/>
        <w:sz w:val="24"/>
        <w:szCs w:val="24"/>
        <w:lang w:val="en-US" w:eastAsia="en-US" w:bidi="en-US"/>
      </w:rPr>
    </w:lvl>
    <w:lvl w:ilvl="1">
      <w:start w:val="0"/>
      <w:numFmt w:val="bullet"/>
      <w:lvlText w:val="•"/>
      <w:lvlJc w:val="left"/>
      <w:pPr>
        <w:ind w:left="2150" w:hanging="720"/>
      </w:pPr>
      <w:rPr>
        <w:rFonts w:hint="default"/>
        <w:lang w:val="en-US" w:eastAsia="en-US" w:bidi="en-US"/>
      </w:rPr>
    </w:lvl>
    <w:lvl w:ilvl="2">
      <w:start w:val="0"/>
      <w:numFmt w:val="bullet"/>
      <w:lvlText w:val="•"/>
      <w:lvlJc w:val="left"/>
      <w:pPr>
        <w:ind w:left="3000" w:hanging="720"/>
      </w:pPr>
      <w:rPr>
        <w:rFonts w:hint="default"/>
        <w:lang w:val="en-US" w:eastAsia="en-US" w:bidi="en-US"/>
      </w:rPr>
    </w:lvl>
    <w:lvl w:ilvl="3">
      <w:start w:val="0"/>
      <w:numFmt w:val="bullet"/>
      <w:lvlText w:val="•"/>
      <w:lvlJc w:val="left"/>
      <w:pPr>
        <w:ind w:left="3850" w:hanging="720"/>
      </w:pPr>
      <w:rPr>
        <w:rFonts w:hint="default"/>
        <w:lang w:val="en-US" w:eastAsia="en-US" w:bidi="en-US"/>
      </w:rPr>
    </w:lvl>
    <w:lvl w:ilvl="4">
      <w:start w:val="0"/>
      <w:numFmt w:val="bullet"/>
      <w:lvlText w:val="•"/>
      <w:lvlJc w:val="left"/>
      <w:pPr>
        <w:ind w:left="4700" w:hanging="720"/>
      </w:pPr>
      <w:rPr>
        <w:rFonts w:hint="default"/>
        <w:lang w:val="en-US" w:eastAsia="en-US" w:bidi="en-US"/>
      </w:rPr>
    </w:lvl>
    <w:lvl w:ilvl="5">
      <w:start w:val="0"/>
      <w:numFmt w:val="bullet"/>
      <w:lvlText w:val="•"/>
      <w:lvlJc w:val="left"/>
      <w:pPr>
        <w:ind w:left="5551" w:hanging="720"/>
      </w:pPr>
      <w:rPr>
        <w:rFonts w:hint="default"/>
        <w:lang w:val="en-US" w:eastAsia="en-US" w:bidi="en-US"/>
      </w:rPr>
    </w:lvl>
    <w:lvl w:ilvl="6">
      <w:start w:val="0"/>
      <w:numFmt w:val="bullet"/>
      <w:lvlText w:val="•"/>
      <w:lvlJc w:val="left"/>
      <w:pPr>
        <w:ind w:left="6401" w:hanging="720"/>
      </w:pPr>
      <w:rPr>
        <w:rFonts w:hint="default"/>
        <w:lang w:val="en-US" w:eastAsia="en-US" w:bidi="en-US"/>
      </w:rPr>
    </w:lvl>
    <w:lvl w:ilvl="7">
      <w:start w:val="0"/>
      <w:numFmt w:val="bullet"/>
      <w:lvlText w:val="•"/>
      <w:lvlJc w:val="left"/>
      <w:pPr>
        <w:ind w:left="7251" w:hanging="720"/>
      </w:pPr>
      <w:rPr>
        <w:rFonts w:hint="default"/>
        <w:lang w:val="en-US" w:eastAsia="en-US" w:bidi="en-US"/>
      </w:rPr>
    </w:lvl>
    <w:lvl w:ilvl="8">
      <w:start w:val="0"/>
      <w:numFmt w:val="bullet"/>
      <w:lvlText w:val="•"/>
      <w:lvlJc w:val="left"/>
      <w:pPr>
        <w:ind w:left="8101" w:hanging="720"/>
      </w:pPr>
      <w:rPr>
        <w:rFonts w:hint="default"/>
        <w:lang w:val="en-US" w:eastAsia="en-US" w:bidi="en-US"/>
      </w:rPr>
    </w:lvl>
  </w:abstractNum>
  <w:abstractNum w:abstractNumId="0">
    <w:multiLevelType w:val="hybridMultilevel"/>
    <w:lvl w:ilvl="0">
      <w:start w:val="2"/>
      <w:numFmt w:val="decimal"/>
      <w:lvlText w:val="%1."/>
      <w:lvlJc w:val="left"/>
      <w:pPr>
        <w:ind w:left="220" w:hanging="720"/>
        <w:jc w:val="left"/>
      </w:pPr>
      <w:rPr>
        <w:rFonts w:hint="default"/>
        <w:spacing w:val="-10"/>
        <w:w w:val="100"/>
        <w:lang w:val="en-US" w:eastAsia="en-US" w:bidi="en-US"/>
      </w:rPr>
    </w:lvl>
    <w:lvl w:ilvl="1">
      <w:start w:val="1"/>
      <w:numFmt w:val="lowerRoman"/>
      <w:lvlText w:val="%2."/>
      <w:lvlJc w:val="left"/>
      <w:pPr>
        <w:ind w:left="940" w:hanging="480"/>
        <w:jc w:val="right"/>
      </w:pPr>
      <w:rPr>
        <w:rFonts w:hint="default"/>
        <w:spacing w:val="-32"/>
        <w:w w:val="99"/>
        <w:lang w:val="en-US" w:eastAsia="en-US" w:bidi="en-US"/>
      </w:rPr>
    </w:lvl>
    <w:lvl w:ilvl="2">
      <w:start w:val="0"/>
      <w:numFmt w:val="bullet"/>
      <w:lvlText w:val="•"/>
      <w:lvlJc w:val="left"/>
      <w:pPr>
        <w:ind w:left="1300" w:hanging="480"/>
      </w:pPr>
      <w:rPr>
        <w:rFonts w:hint="default"/>
        <w:lang w:val="en-US" w:eastAsia="en-US" w:bidi="en-US"/>
      </w:rPr>
    </w:lvl>
    <w:lvl w:ilvl="3">
      <w:start w:val="0"/>
      <w:numFmt w:val="bullet"/>
      <w:lvlText w:val="•"/>
      <w:lvlJc w:val="left"/>
      <w:pPr>
        <w:ind w:left="2362" w:hanging="480"/>
      </w:pPr>
      <w:rPr>
        <w:rFonts w:hint="default"/>
        <w:lang w:val="en-US" w:eastAsia="en-US" w:bidi="en-US"/>
      </w:rPr>
    </w:lvl>
    <w:lvl w:ilvl="4">
      <w:start w:val="0"/>
      <w:numFmt w:val="bullet"/>
      <w:lvlText w:val="•"/>
      <w:lvlJc w:val="left"/>
      <w:pPr>
        <w:ind w:left="3425" w:hanging="480"/>
      </w:pPr>
      <w:rPr>
        <w:rFonts w:hint="default"/>
        <w:lang w:val="en-US" w:eastAsia="en-US" w:bidi="en-US"/>
      </w:rPr>
    </w:lvl>
    <w:lvl w:ilvl="5">
      <w:start w:val="0"/>
      <w:numFmt w:val="bullet"/>
      <w:lvlText w:val="•"/>
      <w:lvlJc w:val="left"/>
      <w:pPr>
        <w:ind w:left="4488" w:hanging="480"/>
      </w:pPr>
      <w:rPr>
        <w:rFonts w:hint="default"/>
        <w:lang w:val="en-US" w:eastAsia="en-US" w:bidi="en-US"/>
      </w:rPr>
    </w:lvl>
    <w:lvl w:ilvl="6">
      <w:start w:val="0"/>
      <w:numFmt w:val="bullet"/>
      <w:lvlText w:val="•"/>
      <w:lvlJc w:val="left"/>
      <w:pPr>
        <w:ind w:left="5551" w:hanging="480"/>
      </w:pPr>
      <w:rPr>
        <w:rFonts w:hint="default"/>
        <w:lang w:val="en-US" w:eastAsia="en-US" w:bidi="en-US"/>
      </w:rPr>
    </w:lvl>
    <w:lvl w:ilvl="7">
      <w:start w:val="0"/>
      <w:numFmt w:val="bullet"/>
      <w:lvlText w:val="•"/>
      <w:lvlJc w:val="left"/>
      <w:pPr>
        <w:ind w:left="6614" w:hanging="480"/>
      </w:pPr>
      <w:rPr>
        <w:rFonts w:hint="default"/>
        <w:lang w:val="en-US" w:eastAsia="en-US" w:bidi="en-US"/>
      </w:rPr>
    </w:lvl>
    <w:lvl w:ilvl="8">
      <w:start w:val="0"/>
      <w:numFmt w:val="bullet"/>
      <w:lvlText w:val="•"/>
      <w:lvlJc w:val="left"/>
      <w:pPr>
        <w:ind w:left="7676" w:hanging="480"/>
      </w:pPr>
      <w:rPr>
        <w:rFonts w:hint="default"/>
        <w:lang w:val="en-US" w:eastAsia="en-US" w:bidi="en-US"/>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en-US" w:eastAsia="en-US" w:bidi="en-US"/>
    </w:rPr>
  </w:style>
  <w:style w:styleId="BodyText" w:type="paragraph">
    <w:name w:val="Body Text"/>
    <w:basedOn w:val="Normal"/>
    <w:uiPriority w:val="1"/>
    <w:qFormat/>
    <w:pPr/>
    <w:rPr>
      <w:rFonts w:ascii="Tahoma" w:hAnsi="Tahoma" w:eastAsia="Tahoma" w:cs="Tahoma"/>
      <w:sz w:val="24"/>
      <w:szCs w:val="24"/>
      <w:lang w:val="en-US" w:eastAsia="en-US" w:bidi="en-US"/>
    </w:rPr>
  </w:style>
  <w:style w:styleId="Heading1" w:type="paragraph">
    <w:name w:val="Heading 1"/>
    <w:basedOn w:val="Normal"/>
    <w:uiPriority w:val="1"/>
    <w:qFormat/>
    <w:pPr>
      <w:spacing w:before="63"/>
      <w:ind w:left="940"/>
      <w:jc w:val="both"/>
      <w:outlineLvl w:val="1"/>
    </w:pPr>
    <w:rPr>
      <w:rFonts w:ascii="Tahoma" w:hAnsi="Tahoma" w:eastAsia="Tahoma" w:cs="Tahoma"/>
      <w:i/>
      <w:sz w:val="25"/>
      <w:szCs w:val="25"/>
      <w:lang w:val="en-US" w:eastAsia="en-US" w:bidi="en-US"/>
    </w:rPr>
  </w:style>
  <w:style w:styleId="Heading2" w:type="paragraph">
    <w:name w:val="Heading 2"/>
    <w:basedOn w:val="Normal"/>
    <w:uiPriority w:val="1"/>
    <w:qFormat/>
    <w:pPr>
      <w:ind w:left="220"/>
      <w:outlineLvl w:val="2"/>
    </w:pPr>
    <w:rPr>
      <w:rFonts w:ascii="Tahoma" w:hAnsi="Tahoma" w:eastAsia="Tahoma" w:cs="Tahoma"/>
      <w:b/>
      <w:bCs/>
      <w:sz w:val="24"/>
      <w:szCs w:val="24"/>
      <w:lang w:val="en-US" w:eastAsia="en-US" w:bidi="en-US"/>
    </w:rPr>
  </w:style>
  <w:style w:styleId="ListParagraph" w:type="paragraph">
    <w:name w:val="List Paragraph"/>
    <w:basedOn w:val="Normal"/>
    <w:uiPriority w:val="1"/>
    <w:qFormat/>
    <w:pPr>
      <w:ind w:left="940"/>
      <w:jc w:val="both"/>
    </w:pPr>
    <w:rPr>
      <w:rFonts w:ascii="Tahoma" w:hAnsi="Tahoma" w:eastAsia="Tahoma" w:cs="Tahoma"/>
      <w:lang w:val="en-US" w:eastAsia="en-US" w:bidi="en-US"/>
    </w:rPr>
  </w:style>
  <w:style w:styleId="TableParagraph" w:type="paragraph">
    <w:name w:val="Table Paragraph"/>
    <w:basedOn w:val="Normal"/>
    <w:uiPriority w:val="1"/>
    <w:qFormat/>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2019-12-04T11:53:03Z</dcterms:created>
  <dcterms:modified xsi:type="dcterms:W3CDTF">2019-12-04T11:53:03Z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2017-09-01T00:00:00Z</vt:filetime>
  </property>
  <property fmtid="{D5CDD505-2E9C-101B-9397-08002B2CF9AE}" pid="3" name="Creator">
    <vt:lpwstr>Microsoft® Word 2016</vt:lpwstr>
  </property>
  <property fmtid="{D5CDD505-2E9C-101B-9397-08002B2CF9AE}" pid="4" name="LastSaved">
    <vt:filetime>2019-12-04T00:00:00Z</vt:filetime>
  </property>
</Properties>
</file>